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9CDE" w14:textId="77777777" w:rsidR="00B94781" w:rsidRPr="008B70C2" w:rsidRDefault="00000000" w:rsidP="008B70C2">
      <w:pPr>
        <w:spacing w:line="590" w:lineRule="exact"/>
        <w:ind w:firstLineChars="200" w:firstLine="720"/>
        <w:jc w:val="center"/>
        <w:rPr>
          <w:rFonts w:ascii="方正小标宋简体" w:eastAsia="方正小标宋简体" w:hint="eastAsia"/>
          <w:sz w:val="36"/>
          <w:szCs w:val="36"/>
        </w:rPr>
      </w:pPr>
      <w:r w:rsidRPr="008B70C2">
        <w:rPr>
          <w:rFonts w:ascii="方正小标宋简体" w:eastAsia="方正小标宋简体" w:hint="eastAsia"/>
          <w:sz w:val="36"/>
          <w:szCs w:val="36"/>
          <w:lang w:eastAsia="zh-CN"/>
        </w:rPr>
        <w:t>海南自由贸易港生态环境保护考核评价和责任追究规定</w:t>
      </w:r>
    </w:p>
    <w:p w14:paraId="3C7C53B4" w14:textId="77777777" w:rsidR="008B70C2" w:rsidRDefault="00000000" w:rsidP="008B70C2">
      <w:pPr>
        <w:spacing w:line="590" w:lineRule="exact"/>
        <w:ind w:firstLineChars="200" w:firstLine="723"/>
        <w:jc w:val="center"/>
        <w:rPr>
          <w:rFonts w:eastAsia="仿宋_GB2312"/>
          <w:sz w:val="32"/>
          <w:szCs w:val="32"/>
          <w:lang w:eastAsia="zh-CN"/>
        </w:rPr>
      </w:pPr>
      <w:r w:rsidRPr="008B70C2">
        <w:rPr>
          <w:rFonts w:eastAsia="仿宋_GB2312"/>
          <w:b/>
          <w:bCs/>
          <w:sz w:val="36"/>
          <w:szCs w:val="36"/>
        </w:rPr>
        <w:t>Provisions on the Assessment and Accountability of Ecological and Environmental Protection in the Hainan Free Trade Port</w:t>
      </w:r>
    </w:p>
    <w:p w14:paraId="01A1E803" w14:textId="77777777" w:rsidR="008B70C2" w:rsidRDefault="00000000" w:rsidP="008B70C2">
      <w:pPr>
        <w:spacing w:line="590" w:lineRule="exact"/>
        <w:ind w:firstLineChars="200" w:firstLine="640"/>
        <w:jc w:val="center"/>
        <w:rPr>
          <w:rFonts w:ascii="方正小标宋简体" w:eastAsia="方正小标宋简体"/>
          <w:sz w:val="32"/>
          <w:szCs w:val="32"/>
          <w:lang w:eastAsia="zh-CN"/>
        </w:rPr>
      </w:pPr>
      <w:r w:rsidRPr="008B70C2">
        <w:rPr>
          <w:rFonts w:ascii="方正小标宋简体" w:eastAsia="方正小标宋简体" w:hint="eastAsia"/>
          <w:sz w:val="32"/>
          <w:szCs w:val="32"/>
          <w:lang w:eastAsia="zh-CN"/>
        </w:rPr>
        <w:t>（2022 年 11 月 30 日海南省第六届人民代表大会常务委员会第三十九次会议通过）</w:t>
      </w:r>
    </w:p>
    <w:p w14:paraId="1440A00C" w14:textId="148D0913" w:rsidR="00BF4F51" w:rsidRPr="008B70C2" w:rsidRDefault="00000000" w:rsidP="008B70C2">
      <w:pPr>
        <w:spacing w:line="590" w:lineRule="exact"/>
        <w:ind w:firstLineChars="200" w:firstLine="640"/>
        <w:jc w:val="center"/>
        <w:rPr>
          <w:rFonts w:ascii="方正小标宋简体" w:eastAsia="方正小标宋简体"/>
          <w:sz w:val="32"/>
          <w:szCs w:val="32"/>
          <w:lang w:eastAsia="zh-CN"/>
        </w:rPr>
      </w:pPr>
      <w:r w:rsidRPr="008B70C2">
        <w:rPr>
          <w:rFonts w:eastAsia="仿宋_GB2312"/>
          <w:sz w:val="32"/>
          <w:szCs w:val="32"/>
        </w:rPr>
        <w:t>(Adopted at the 39th Session of the 6th Hainan Provincial People’s Congress Standing Committee on November 30, 2022)</w:t>
      </w:r>
    </w:p>
    <w:p w14:paraId="0FD454BD" w14:textId="77777777" w:rsidR="008B70C2" w:rsidRPr="008B70C2" w:rsidRDefault="008B70C2" w:rsidP="008B70C2">
      <w:pPr>
        <w:spacing w:line="590" w:lineRule="exact"/>
        <w:ind w:firstLineChars="200" w:firstLine="640"/>
        <w:jc w:val="both"/>
        <w:rPr>
          <w:rFonts w:eastAsia="仿宋_GB2312"/>
          <w:sz w:val="32"/>
          <w:szCs w:val="32"/>
          <w:lang w:eastAsia="zh-CN"/>
        </w:rPr>
      </w:pPr>
    </w:p>
    <w:p w14:paraId="231B8B3D" w14:textId="77777777" w:rsidR="008B70C2"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lang w:eastAsia="zh-CN"/>
        </w:rPr>
        <w:t>第一条</w:t>
      </w:r>
      <w:r w:rsidRPr="008B70C2">
        <w:rPr>
          <w:rFonts w:eastAsia="仿宋_GB2312"/>
          <w:sz w:val="32"/>
          <w:szCs w:val="32"/>
          <w:lang w:eastAsia="zh-CN"/>
        </w:rPr>
        <w:t xml:space="preserve">  </w:t>
      </w:r>
      <w:r w:rsidRPr="008B70C2">
        <w:rPr>
          <w:rFonts w:eastAsia="仿宋_GB2312"/>
          <w:sz w:val="32"/>
          <w:szCs w:val="32"/>
          <w:lang w:eastAsia="zh-CN"/>
        </w:rPr>
        <w:t>为了贯彻实施《中华人民共和国海南自由贸易港法》《中华人民共和国环境保护法》等有关法律法规，健全生态环境保护考核评价和责任追究制度，结合海南自由贸易港实际，制定本规定</w:t>
      </w:r>
      <w:r w:rsidR="008B70C2" w:rsidRPr="008B70C2">
        <w:rPr>
          <w:rFonts w:eastAsia="仿宋_GB2312"/>
          <w:sz w:val="32"/>
          <w:szCs w:val="32"/>
        </w:rPr>
        <w:t>。</w:t>
      </w:r>
    </w:p>
    <w:p w14:paraId="14701EBD" w14:textId="2B38CEF8" w:rsidR="008B70C2"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 The Provisions on the Assessment and Accountability of Ecological and Environmental Protection in the Hainan Free Trade Port (these “Provisions”) are enacted to improve the assessment and accountability system for ecological and environmental protection, and in light of the actual circumstances of the Hainan Free Trade Port, in accordance with the Hainan Free Trade Port Law of the People’s Republic</w:t>
      </w:r>
      <w:r w:rsidRPr="008B70C2">
        <w:rPr>
          <w:rFonts w:eastAsia="仿宋_GB2312"/>
          <w:sz w:val="32"/>
          <w:szCs w:val="32"/>
        </w:rPr>
        <w:t xml:space="preserve"> </w:t>
      </w:r>
      <w:r w:rsidR="00000000" w:rsidRPr="008B70C2">
        <w:rPr>
          <w:rFonts w:eastAsia="仿宋_GB2312"/>
          <w:sz w:val="32"/>
          <w:szCs w:val="32"/>
        </w:rPr>
        <w:t>of China, the Environmental Protection Law of the People’s Republic of China, and other applicable laws and regulations.</w:t>
      </w:r>
    </w:p>
    <w:p w14:paraId="02195F0C" w14:textId="4F4490B4"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lastRenderedPageBreak/>
        <w:t>第二条</w:t>
      </w:r>
      <w:r w:rsidRPr="008B70C2">
        <w:rPr>
          <w:rFonts w:eastAsia="仿宋_GB2312"/>
          <w:sz w:val="32"/>
          <w:szCs w:val="32"/>
          <w:lang w:eastAsia="zh-CN"/>
        </w:rPr>
        <w:t xml:space="preserve">  </w:t>
      </w:r>
      <w:r w:rsidRPr="008B70C2">
        <w:rPr>
          <w:rFonts w:eastAsia="仿宋_GB2312"/>
          <w:sz w:val="32"/>
          <w:szCs w:val="32"/>
          <w:lang w:eastAsia="zh-CN"/>
        </w:rPr>
        <w:t>县级以上人民政府对下级人民政府和本级人民政府负有生态环境保护监督管理职责的部门的生态环境保护考核评价和责任追究，适用本规定。</w:t>
      </w:r>
    </w:p>
    <w:p w14:paraId="225FFECB"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本规定所称的生态环境保护考核评价，是指对生态环境保护目标完成情况的考核评价。</w:t>
      </w:r>
    </w:p>
    <w:p w14:paraId="57BE6466" w14:textId="1106E249"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2 These Provisions apply to the assessment and accountability of ecological and environmental protection carried out by People’s Governments at or above the county level on their subordinate governments, as well as on the departments of the same level that bear supervisory and administrative responsibilities for ecological and environmental protection.</w:t>
      </w:r>
    </w:p>
    <w:p w14:paraId="3E1E85CE" w14:textId="77777777"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For the purpose of these Provisions, ecological and environmental protection assessment refers to the evaluation of the completion status of ecological and environmental protection objectives.</w:t>
      </w:r>
    </w:p>
    <w:p w14:paraId="001E47EC" w14:textId="3B4E60DB"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第三条</w:t>
      </w:r>
      <w:r w:rsidRPr="008B70C2">
        <w:rPr>
          <w:rFonts w:eastAsia="仿宋_GB2312"/>
          <w:sz w:val="32"/>
          <w:szCs w:val="32"/>
          <w:lang w:eastAsia="zh-CN"/>
        </w:rPr>
        <w:t xml:space="preserve"> </w:t>
      </w:r>
      <w:r w:rsidRPr="008B70C2">
        <w:rPr>
          <w:rFonts w:eastAsia="仿宋_GB2312"/>
          <w:sz w:val="32"/>
          <w:szCs w:val="32"/>
          <w:lang w:eastAsia="zh-CN"/>
        </w:rPr>
        <w:t>生态环境保护考核评价和责任追究实行党政同责、一岗双责。考核评价按照客观公正、科学规范、注重实效、社会参与、奖惩并举的原则进行；责任追究坚持客观公正、科学认定、权责一致、终身追究的原则。</w:t>
      </w:r>
    </w:p>
    <w:p w14:paraId="6DA8FA83" w14:textId="084D9984"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3 The evaluation and accountability framework for ecological and environmental protection shall rigorously enforce the principles of joint Party and government responsibility, as well as individual position-based dual</w:t>
      </w:r>
      <w:r>
        <w:rPr>
          <w:rFonts w:eastAsia="仿宋_GB2312" w:hint="eastAsia"/>
          <w:sz w:val="32"/>
          <w:szCs w:val="32"/>
          <w:lang w:eastAsia="zh-CN"/>
        </w:rPr>
        <w:t xml:space="preserve"> </w:t>
      </w:r>
      <w:r w:rsidR="00000000" w:rsidRPr="008B70C2">
        <w:rPr>
          <w:rFonts w:eastAsia="仿宋_GB2312"/>
          <w:sz w:val="32"/>
          <w:szCs w:val="32"/>
        </w:rPr>
        <w:t xml:space="preserve">responsibility. The evaluation process is </w:t>
      </w:r>
      <w:r w:rsidR="00000000" w:rsidRPr="008B70C2">
        <w:rPr>
          <w:rFonts w:eastAsia="仿宋_GB2312"/>
          <w:sz w:val="32"/>
          <w:szCs w:val="32"/>
        </w:rPr>
        <w:lastRenderedPageBreak/>
        <w:t>to be conducted adhering to the principles of objectivity, impartiality, scientific rigor, emphasis on practical effectiveness, public engagement, and a balanced system of incentives and sanctions. Accountability measures are to uphold the principles of impartiality, scientifically grounded determination, alignment of authority and responsibility, and lifelong accountability.</w:t>
      </w:r>
    </w:p>
    <w:p w14:paraId="2D948B38" w14:textId="48E67A04"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第四条</w:t>
      </w:r>
      <w:r w:rsidRPr="008B70C2">
        <w:rPr>
          <w:rFonts w:eastAsia="仿宋_GB2312"/>
          <w:sz w:val="32"/>
          <w:szCs w:val="32"/>
          <w:lang w:eastAsia="zh-CN"/>
        </w:rPr>
        <w:t xml:space="preserve">  </w:t>
      </w:r>
      <w:r w:rsidRPr="008B70C2">
        <w:rPr>
          <w:rFonts w:eastAsia="仿宋_GB2312"/>
          <w:sz w:val="32"/>
          <w:szCs w:val="32"/>
          <w:lang w:eastAsia="zh-CN"/>
        </w:rPr>
        <w:t>生态环境保护考核评价按照生态环境保护目标指标体系实施。县级以上人民政府应当根据国民经济和社会发展规划纲要以及生态环境保护规划等制定生态环境保护目标指标体系，并根据国家和本省关于生态环境保护的重大决策部署作相应调整。</w:t>
      </w:r>
    </w:p>
    <w:p w14:paraId="36ADB3D1"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生态环境保护目标指标体系主要包括生态环境质量、资源利用效率、国土空间开发保护格局、环境治理能力、应对气候变化、绿色生产生活、公众满意程度、生态环境保护督察整改情况等方面的指标。</w:t>
      </w:r>
    </w:p>
    <w:p w14:paraId="142081F3" w14:textId="3F55CEE4"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4 The assessment of ecological and environmental protection is to be conducted in accordance with an ecological and environmental protection target and indicator system. People’s Governments at or above the county level shall prepare the ecological and environmental protection target and indicator system based on the outline of national economic and social development plans and ecological and environmental protection plans, and implement necessary adjustments in accordance with major national and</w:t>
      </w:r>
      <w:r>
        <w:rPr>
          <w:rFonts w:eastAsia="仿宋_GB2312" w:hint="eastAsia"/>
          <w:sz w:val="32"/>
          <w:szCs w:val="32"/>
          <w:lang w:eastAsia="zh-CN"/>
        </w:rPr>
        <w:t xml:space="preserve"> </w:t>
      </w:r>
      <w:r w:rsidR="00000000" w:rsidRPr="008B70C2">
        <w:rPr>
          <w:rFonts w:eastAsia="仿宋_GB2312"/>
          <w:sz w:val="32"/>
          <w:szCs w:val="32"/>
        </w:rPr>
        <w:t xml:space="preserve">provincial </w:t>
      </w:r>
      <w:r w:rsidR="00000000" w:rsidRPr="008B70C2">
        <w:rPr>
          <w:rFonts w:eastAsia="仿宋_GB2312"/>
          <w:sz w:val="32"/>
          <w:szCs w:val="32"/>
        </w:rPr>
        <w:lastRenderedPageBreak/>
        <w:t>decisions on ecological and environmental protection.</w:t>
      </w:r>
    </w:p>
    <w:p w14:paraId="3E25F236" w14:textId="77777777"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The ecological and environmental protection target and indicator system primarily includes indicators pertaining to ecological environmental quality, resource utilization efficiency, the pattern of territorial spatial development and protection, environmental governance capabilities, climate change mitigation and adaptation, sustainable production and lifestyle practices, public satisfaction levels, and the rectification of findings from ecological and environmental protection supervisory inspections.</w:t>
      </w:r>
    </w:p>
    <w:p w14:paraId="6B6AC3DF" w14:textId="4CE3C332"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第五条</w:t>
      </w:r>
      <w:r w:rsidRPr="008B70C2">
        <w:rPr>
          <w:rFonts w:eastAsia="仿宋_GB2312"/>
          <w:sz w:val="32"/>
          <w:szCs w:val="32"/>
          <w:lang w:eastAsia="zh-CN"/>
        </w:rPr>
        <w:t xml:space="preserve"> </w:t>
      </w:r>
      <w:r w:rsidRPr="008B70C2">
        <w:rPr>
          <w:rFonts w:eastAsia="仿宋_GB2312"/>
          <w:sz w:val="32"/>
          <w:szCs w:val="32"/>
          <w:lang w:eastAsia="zh-CN"/>
        </w:rPr>
        <w:t>县级以上人民政府应当根据区域主体功能定位、经济社会发展水平、资源环境禀赋等因素，以及部门所负有的生态环境保护监督管理职责，实行差别化考核评价。</w:t>
      </w:r>
    </w:p>
    <w:p w14:paraId="79E93240" w14:textId="39CC34DD"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5 People’s Governments at or above the county level shall conduct differentiated assessments by taking into account regional functional positioning, levels of economic and social development, resource and environmental endowments, and the ecological and environmental supervision and management responsibilities of relevant departments.</w:t>
      </w:r>
    </w:p>
    <w:p w14:paraId="7D54CA29" w14:textId="39413DDA"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第六条</w:t>
      </w:r>
      <w:r w:rsidRPr="008B70C2">
        <w:rPr>
          <w:rFonts w:eastAsia="仿宋_GB2312"/>
          <w:sz w:val="32"/>
          <w:szCs w:val="32"/>
          <w:lang w:eastAsia="zh-CN"/>
        </w:rPr>
        <w:t xml:space="preserve"> </w:t>
      </w:r>
      <w:r w:rsidRPr="008B70C2">
        <w:rPr>
          <w:rFonts w:eastAsia="仿宋_GB2312"/>
          <w:sz w:val="32"/>
          <w:szCs w:val="32"/>
          <w:lang w:eastAsia="zh-CN"/>
        </w:rPr>
        <w:t>县级以上人民政府建立由生态环境、发展改革、自然资源和规划、农业农村、水务、林业、统计、财政等部门组成的生态环境保护考核评价机制，负责具体实施生态环境保护考核评价工作。</w:t>
      </w:r>
    </w:p>
    <w:p w14:paraId="2FDB123A" w14:textId="3E44BE2D"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lastRenderedPageBreak/>
        <w:t>Section</w:t>
      </w:r>
      <w:r w:rsidR="00000000" w:rsidRPr="008B70C2">
        <w:rPr>
          <w:rFonts w:eastAsia="仿宋_GB2312"/>
          <w:sz w:val="32"/>
          <w:szCs w:val="32"/>
        </w:rPr>
        <w:t xml:space="preserve"> 6 People’s Governments at or above the county level are to establish an ecological and environmental protection assessment mechanism</w:t>
      </w:r>
      <w:r>
        <w:rPr>
          <w:rFonts w:eastAsia="仿宋_GB2312" w:hint="eastAsia"/>
          <w:sz w:val="32"/>
          <w:szCs w:val="32"/>
          <w:lang w:eastAsia="zh-CN"/>
        </w:rPr>
        <w:t xml:space="preserve"> </w:t>
      </w:r>
      <w:r w:rsidR="00000000" w:rsidRPr="008B70C2">
        <w:rPr>
          <w:rFonts w:eastAsia="仿宋_GB2312"/>
          <w:sz w:val="32"/>
          <w:szCs w:val="32"/>
        </w:rPr>
        <w:t>composed of relevant departments including those responsible for ecological environment, development and reform, natural resources and planning, agriculture and rural affairs, water affairs, forestry, statistics, and finance, specifically responsible for the implementation of ecological and environmental protection assessment.</w:t>
      </w:r>
    </w:p>
    <w:p w14:paraId="5D26D5BA" w14:textId="58C4238A"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第七条</w:t>
      </w:r>
      <w:r w:rsidRPr="008B70C2">
        <w:rPr>
          <w:rFonts w:eastAsia="仿宋_GB2312"/>
          <w:sz w:val="32"/>
          <w:szCs w:val="32"/>
          <w:lang w:eastAsia="zh-CN"/>
        </w:rPr>
        <w:t xml:space="preserve">  </w:t>
      </w:r>
      <w:r w:rsidRPr="008B70C2">
        <w:rPr>
          <w:rFonts w:eastAsia="仿宋_GB2312"/>
          <w:sz w:val="32"/>
          <w:szCs w:val="32"/>
          <w:lang w:eastAsia="zh-CN"/>
        </w:rPr>
        <w:t>有关人民政府及负有生态环境保护监督管理职责的部门应当每年对上一年度生态环境保护目标完成情况进行自评，并向负责考核评价的人民政府提交自评报告。</w:t>
      </w:r>
    </w:p>
    <w:p w14:paraId="35E227FA" w14:textId="3E9179AA"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7 People’s governments and departments vested with ecological and environmental protection supervisory and management duties shall annually conduct self-evaluations of their respective fulfillment of ecological and environmental protection objectives for the preceding year, and submit self-evaluation reports to the people’s government responsible for evaluation.</w:t>
      </w:r>
    </w:p>
    <w:p w14:paraId="4E6D24D2" w14:textId="72C2C17E"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第八条</w:t>
      </w:r>
      <w:r w:rsidRPr="008B70C2">
        <w:rPr>
          <w:rFonts w:eastAsia="仿宋_GB2312"/>
          <w:sz w:val="32"/>
          <w:szCs w:val="32"/>
          <w:lang w:eastAsia="zh-CN"/>
        </w:rPr>
        <w:t xml:space="preserve">  </w:t>
      </w:r>
      <w:r w:rsidRPr="008B70C2">
        <w:rPr>
          <w:rFonts w:eastAsia="仿宋_GB2312"/>
          <w:sz w:val="32"/>
          <w:szCs w:val="32"/>
          <w:lang w:eastAsia="zh-CN"/>
        </w:rPr>
        <w:t>负责考核评价的人民政府根据下级人民政府及本级人民政府负有生态环境保护监督管理职责的部门的自评报告，采取调阅资料、调研座谈、问卷调查、现场核查等方式对其生态环境保护目标完成情况进行核实核证，并结合领导干部自然资源资产离任审计、生态环境保护督察等结果，综合评价提出考核评价等级划分、整改要求、考核结果处理等。</w:t>
      </w:r>
    </w:p>
    <w:p w14:paraId="4C2A78C9"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lastRenderedPageBreak/>
        <w:t>生态环境保护考核评价结果划分为优秀、良好、合格、不合格四个等级，由负责考核评价的人民政府向社会公开。</w:t>
      </w:r>
    </w:p>
    <w:p w14:paraId="3D1A7185" w14:textId="2D58908D"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考核评价工作应当采取多种形式听取有关专家、人大代表、公众等各方面的意见。考核评价工作可以委托第三方机构协助开展。</w:t>
      </w:r>
    </w:p>
    <w:p w14:paraId="3A81D143" w14:textId="74737852"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8 People’s governments responsible for evaluation shall, based on the self-evaluation reports submitted by subordinate governments and departments vested with ecological and environmental protection supervisory and management duties in the same level, verify and certify the fulfillment of ecological and environmental protection objectives through methods such as document review, research seminars, surveys, and on-site inspections, and consider the findings from audits of natural resource assets upon leadership departure and results from ecological and environmental protection supervisory inspections to prepare comprehensive evaluation ratings, rectification requirements, and decisions on the handling of evaluation results.</w:t>
      </w:r>
    </w:p>
    <w:p w14:paraId="2145B7EE" w14:textId="77777777"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Assessment results shall be rated into four levels: excellent, good, qualified, and unqualified, and shall be made public by the responsible People’s governments.</w:t>
      </w:r>
    </w:p>
    <w:p w14:paraId="0AADEEF8" w14:textId="77777777"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 xml:space="preserve">The assessment shall adopt multiple methods to solicit opinions from experts, representatives of the people’s congresses and the public. </w:t>
      </w:r>
      <w:r w:rsidRPr="008B70C2">
        <w:rPr>
          <w:rFonts w:eastAsia="仿宋_GB2312"/>
          <w:sz w:val="32"/>
          <w:szCs w:val="32"/>
        </w:rPr>
        <w:lastRenderedPageBreak/>
        <w:t>Third-party agencies may be commissioned to assist in the assessment.</w:t>
      </w:r>
    </w:p>
    <w:p w14:paraId="7D42511E" w14:textId="58BAC49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第九条</w:t>
      </w:r>
      <w:r w:rsidRPr="008B70C2">
        <w:rPr>
          <w:rFonts w:eastAsia="仿宋_GB2312"/>
          <w:sz w:val="32"/>
          <w:szCs w:val="32"/>
          <w:lang w:eastAsia="zh-CN"/>
        </w:rPr>
        <w:t xml:space="preserve"> </w:t>
      </w:r>
      <w:r w:rsidRPr="008B70C2">
        <w:rPr>
          <w:rFonts w:eastAsia="仿宋_GB2312"/>
          <w:sz w:val="32"/>
          <w:szCs w:val="32"/>
          <w:lang w:eastAsia="zh-CN"/>
        </w:rPr>
        <w:t>存在以下情形之一的，考核评价结果不得确定为优秀等级：</w:t>
      </w:r>
    </w:p>
    <w:p w14:paraId="742EE1AF"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（一）因生态环境保护督察整改不力、生态环境保护问题被国家或者省通报的；</w:t>
      </w:r>
    </w:p>
    <w:p w14:paraId="4594E518"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（二）对本省在国家生态环境保护相关考核中不合格负有责任的；</w:t>
      </w:r>
    </w:p>
    <w:p w14:paraId="7C25A08F"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（三）不履职或者工作不力，导致发生因生态环境保护问题引发群体性事件的；</w:t>
      </w:r>
    </w:p>
    <w:p w14:paraId="4A8D7BCB"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（四）因生态环境保护问题被提起诉讼并被人民法院判决败诉或者承担相应法律责任的；</w:t>
      </w:r>
    </w:p>
    <w:p w14:paraId="30D2FFAD"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（五）法律法规规定的其他情形。</w:t>
      </w:r>
    </w:p>
    <w:p w14:paraId="29A75D07"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存在以下情形之一的，考核评价结果确定为不合格等级：</w:t>
      </w:r>
    </w:p>
    <w:p w14:paraId="14A88C78"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（一）未完成生态环境保护目标的；</w:t>
      </w:r>
    </w:p>
    <w:p w14:paraId="2121908B"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（二）因重点区域、重点领域、重点行业存在突出生态环境保护问题或者中央生态环境保护督察整改不力被国家作为典型案例通报的；</w:t>
      </w:r>
    </w:p>
    <w:p w14:paraId="1FB2D9C6"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（三）不履职或者工作不力，导致发生特别重大环境污染事件或者特别重大生态破坏事件的；</w:t>
      </w:r>
    </w:p>
    <w:p w14:paraId="2B593A07"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（四）存在瞒报谎报、篡改数据、伪造资料等行为的；</w:t>
      </w:r>
    </w:p>
    <w:p w14:paraId="1913E1C2"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（五）法律法规规定的其他情形。</w:t>
      </w:r>
    </w:p>
    <w:p w14:paraId="5A5D0847" w14:textId="6B7693A3"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9 The assessment result shall not be rated as “excellent” if </w:t>
      </w:r>
      <w:r w:rsidR="00000000" w:rsidRPr="008B70C2">
        <w:rPr>
          <w:rFonts w:eastAsia="仿宋_GB2312"/>
          <w:sz w:val="32"/>
          <w:szCs w:val="32"/>
        </w:rPr>
        <w:lastRenderedPageBreak/>
        <w:t>any one of the following circumstances exists:</w:t>
      </w:r>
    </w:p>
    <w:p w14:paraId="3E137345" w14:textId="77777777" w:rsidR="00BF4F51" w:rsidRPr="008B70C2" w:rsidRDefault="00000000" w:rsidP="008B70C2">
      <w:pPr>
        <w:pStyle w:val="a5"/>
        <w:numPr>
          <w:ilvl w:val="0"/>
          <w:numId w:val="3"/>
        </w:numPr>
        <w:spacing w:line="590" w:lineRule="exact"/>
        <w:rPr>
          <w:rFonts w:eastAsia="仿宋_GB2312"/>
          <w:sz w:val="32"/>
          <w:szCs w:val="32"/>
        </w:rPr>
      </w:pPr>
      <w:r w:rsidRPr="008B70C2">
        <w:rPr>
          <w:rFonts w:eastAsia="仿宋_GB2312"/>
          <w:sz w:val="32"/>
          <w:szCs w:val="32"/>
        </w:rPr>
        <w:t>Public denouncement by national or provincial authorities due to failure to effectively rectify issues identified in environmental inspections;</w:t>
      </w:r>
    </w:p>
    <w:p w14:paraId="0B39F1FD" w14:textId="77777777" w:rsidR="00BF4F51" w:rsidRPr="008B70C2" w:rsidRDefault="00000000" w:rsidP="008B70C2">
      <w:pPr>
        <w:pStyle w:val="a5"/>
        <w:numPr>
          <w:ilvl w:val="0"/>
          <w:numId w:val="3"/>
        </w:numPr>
        <w:spacing w:line="590" w:lineRule="exact"/>
        <w:rPr>
          <w:rFonts w:eastAsia="仿宋_GB2312"/>
          <w:sz w:val="32"/>
          <w:szCs w:val="32"/>
        </w:rPr>
      </w:pPr>
      <w:r w:rsidRPr="008B70C2">
        <w:rPr>
          <w:rFonts w:eastAsia="仿宋_GB2312"/>
          <w:sz w:val="32"/>
          <w:szCs w:val="32"/>
        </w:rPr>
        <w:t>Bearing responsibility for the province’s failure to meet national ecological and environmental protection assessment standards;</w:t>
      </w:r>
    </w:p>
    <w:p w14:paraId="49053B2B" w14:textId="77777777" w:rsidR="00BF4F51" w:rsidRPr="008B70C2" w:rsidRDefault="00000000" w:rsidP="008B70C2">
      <w:pPr>
        <w:pStyle w:val="a5"/>
        <w:numPr>
          <w:ilvl w:val="0"/>
          <w:numId w:val="3"/>
        </w:numPr>
        <w:spacing w:line="590" w:lineRule="exact"/>
        <w:rPr>
          <w:rFonts w:eastAsia="仿宋_GB2312"/>
          <w:sz w:val="32"/>
          <w:szCs w:val="32"/>
        </w:rPr>
      </w:pPr>
      <w:r w:rsidRPr="008B70C2">
        <w:rPr>
          <w:rFonts w:eastAsia="仿宋_GB2312"/>
          <w:sz w:val="32"/>
          <w:szCs w:val="32"/>
        </w:rPr>
        <w:t>Dereliction of duty or substandard performance leading to mass disturbances arising from ecological and environmental protection issues;</w:t>
      </w:r>
    </w:p>
    <w:p w14:paraId="68BBCCAA" w14:textId="77777777" w:rsidR="00BF4F51" w:rsidRPr="008B70C2" w:rsidRDefault="00000000" w:rsidP="008B70C2">
      <w:pPr>
        <w:pStyle w:val="a5"/>
        <w:numPr>
          <w:ilvl w:val="0"/>
          <w:numId w:val="3"/>
        </w:numPr>
        <w:spacing w:line="590" w:lineRule="exact"/>
        <w:rPr>
          <w:rFonts w:eastAsia="仿宋_GB2312"/>
          <w:sz w:val="32"/>
          <w:szCs w:val="32"/>
        </w:rPr>
      </w:pPr>
      <w:r w:rsidRPr="008B70C2">
        <w:rPr>
          <w:rFonts w:eastAsia="仿宋_GB2312"/>
          <w:sz w:val="32"/>
          <w:szCs w:val="32"/>
        </w:rPr>
        <w:t>Being subject to legal proceedings for ecological and environmental protection issues and subsequently losing the lawsuit or incurring corresponding legal liabilities; or</w:t>
      </w:r>
    </w:p>
    <w:p w14:paraId="07A7931E" w14:textId="77777777" w:rsidR="00BF4F51" w:rsidRPr="008B70C2" w:rsidRDefault="00000000" w:rsidP="008B70C2">
      <w:pPr>
        <w:pStyle w:val="a5"/>
        <w:numPr>
          <w:ilvl w:val="0"/>
          <w:numId w:val="3"/>
        </w:numPr>
        <w:spacing w:line="590" w:lineRule="exact"/>
        <w:rPr>
          <w:rFonts w:eastAsia="仿宋_GB2312"/>
          <w:sz w:val="32"/>
          <w:szCs w:val="32"/>
        </w:rPr>
      </w:pPr>
      <w:r w:rsidRPr="008B70C2">
        <w:rPr>
          <w:rFonts w:eastAsia="仿宋_GB2312"/>
          <w:sz w:val="32"/>
          <w:szCs w:val="32"/>
        </w:rPr>
        <w:t>Other circumstances as prescribed by laws and regulations.</w:t>
      </w:r>
    </w:p>
    <w:p w14:paraId="6436312D" w14:textId="77777777"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The assessment result shall be rated as “unqualified”, if any one of the following circumstances exists:</w:t>
      </w:r>
    </w:p>
    <w:p w14:paraId="0E0971B4" w14:textId="77777777" w:rsidR="00BF4F51" w:rsidRPr="008B70C2" w:rsidRDefault="00000000" w:rsidP="008B70C2">
      <w:pPr>
        <w:pStyle w:val="a5"/>
        <w:numPr>
          <w:ilvl w:val="0"/>
          <w:numId w:val="4"/>
        </w:numPr>
        <w:spacing w:line="590" w:lineRule="exact"/>
        <w:rPr>
          <w:rFonts w:eastAsia="仿宋_GB2312"/>
          <w:sz w:val="32"/>
          <w:szCs w:val="32"/>
        </w:rPr>
      </w:pPr>
      <w:r w:rsidRPr="008B70C2">
        <w:rPr>
          <w:rFonts w:eastAsia="仿宋_GB2312"/>
          <w:sz w:val="32"/>
          <w:szCs w:val="32"/>
        </w:rPr>
        <w:t>Failure to achieve ecological and environmental protection objectives;</w:t>
      </w:r>
    </w:p>
    <w:p w14:paraId="6EA2B981" w14:textId="16947445" w:rsidR="00BF4F51" w:rsidRPr="008B70C2" w:rsidRDefault="00000000" w:rsidP="008B70C2">
      <w:pPr>
        <w:pStyle w:val="a5"/>
        <w:numPr>
          <w:ilvl w:val="0"/>
          <w:numId w:val="4"/>
        </w:numPr>
        <w:spacing w:line="590" w:lineRule="exact"/>
        <w:rPr>
          <w:rFonts w:eastAsia="仿宋_GB2312"/>
          <w:sz w:val="32"/>
          <w:szCs w:val="32"/>
        </w:rPr>
      </w:pPr>
      <w:r w:rsidRPr="008B70C2">
        <w:rPr>
          <w:rFonts w:eastAsia="仿宋_GB2312"/>
          <w:sz w:val="32"/>
          <w:szCs w:val="32"/>
        </w:rPr>
        <w:t xml:space="preserve">Public denouncement by national authorities as a representative case due to severe ecological and environmental protection problems within key regions, sectors, or industries, or failure to adequately rectify issues identified during central authority’s </w:t>
      </w:r>
      <w:r w:rsidRPr="008B70C2">
        <w:rPr>
          <w:rFonts w:eastAsia="仿宋_GB2312"/>
          <w:sz w:val="32"/>
          <w:szCs w:val="32"/>
        </w:rPr>
        <w:lastRenderedPageBreak/>
        <w:t>ecological and environmental protection inspections;</w:t>
      </w:r>
    </w:p>
    <w:p w14:paraId="73B387D1" w14:textId="77777777" w:rsidR="00BF4F51" w:rsidRPr="008B70C2" w:rsidRDefault="00000000" w:rsidP="008B70C2">
      <w:pPr>
        <w:pStyle w:val="a5"/>
        <w:numPr>
          <w:ilvl w:val="0"/>
          <w:numId w:val="4"/>
        </w:numPr>
        <w:spacing w:line="590" w:lineRule="exact"/>
        <w:rPr>
          <w:rFonts w:eastAsia="仿宋_GB2312"/>
          <w:sz w:val="32"/>
          <w:szCs w:val="32"/>
        </w:rPr>
      </w:pPr>
      <w:r w:rsidRPr="008B70C2">
        <w:rPr>
          <w:rFonts w:eastAsia="仿宋_GB2312"/>
          <w:sz w:val="32"/>
          <w:szCs w:val="32"/>
        </w:rPr>
        <w:t>Dereliction of duty or substandard performance resulting in exceptionally severe environmental pollution or ecological degradation incidents;</w:t>
      </w:r>
    </w:p>
    <w:p w14:paraId="496E43CD" w14:textId="77777777" w:rsidR="00BF4F51" w:rsidRPr="008B70C2" w:rsidRDefault="00000000" w:rsidP="008B70C2">
      <w:pPr>
        <w:pStyle w:val="a5"/>
        <w:numPr>
          <w:ilvl w:val="0"/>
          <w:numId w:val="4"/>
        </w:numPr>
        <w:spacing w:line="590" w:lineRule="exact"/>
        <w:rPr>
          <w:rFonts w:eastAsia="仿宋_GB2312"/>
          <w:sz w:val="32"/>
          <w:szCs w:val="32"/>
        </w:rPr>
      </w:pPr>
      <w:r w:rsidRPr="008B70C2">
        <w:rPr>
          <w:rFonts w:eastAsia="仿宋_GB2312"/>
          <w:sz w:val="32"/>
          <w:szCs w:val="32"/>
        </w:rPr>
        <w:t>Concealing or falsifying information, tampering with data, or fabricating documents; or</w:t>
      </w:r>
    </w:p>
    <w:p w14:paraId="262BF873" w14:textId="77777777" w:rsidR="00BF4F51" w:rsidRPr="008B70C2" w:rsidRDefault="00000000" w:rsidP="008B70C2">
      <w:pPr>
        <w:pStyle w:val="a5"/>
        <w:numPr>
          <w:ilvl w:val="0"/>
          <w:numId w:val="4"/>
        </w:numPr>
        <w:spacing w:line="590" w:lineRule="exact"/>
        <w:rPr>
          <w:rFonts w:eastAsia="仿宋_GB2312"/>
          <w:sz w:val="32"/>
          <w:szCs w:val="32"/>
        </w:rPr>
      </w:pPr>
      <w:r w:rsidRPr="008B70C2">
        <w:rPr>
          <w:rFonts w:eastAsia="仿宋_GB2312"/>
          <w:sz w:val="32"/>
          <w:szCs w:val="32"/>
        </w:rPr>
        <w:t>Other circumstances as prescribed by laws and regulations.</w:t>
      </w:r>
    </w:p>
    <w:p w14:paraId="5FCE5A99"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第十条</w:t>
      </w:r>
      <w:r w:rsidRPr="008B70C2">
        <w:rPr>
          <w:rFonts w:eastAsia="仿宋_GB2312"/>
          <w:sz w:val="32"/>
          <w:szCs w:val="32"/>
          <w:lang w:eastAsia="zh-CN"/>
        </w:rPr>
        <w:t xml:space="preserve"> </w:t>
      </w:r>
      <w:r w:rsidRPr="008B70C2">
        <w:rPr>
          <w:rFonts w:eastAsia="仿宋_GB2312"/>
          <w:sz w:val="32"/>
          <w:szCs w:val="32"/>
          <w:lang w:eastAsia="zh-CN"/>
        </w:rPr>
        <w:t>因重大自然灾害等非人为因素导致生态环境保护目标未完成的，经负责考核评价的人民政府核实后，对考核评价结果进行综合判定。</w:t>
      </w:r>
    </w:p>
    <w:p w14:paraId="0A769333" w14:textId="1BE31173"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10 Where the ecological and environmental protection objectives are not achieved due to major natural disasters or other non-human factors, the responsible people’s governments shall verify the circumstances and render a holistic determination concerning the evaluation result.</w:t>
      </w:r>
    </w:p>
    <w:p w14:paraId="66B0E90F" w14:textId="583D2E8A"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第十一条</w:t>
      </w:r>
      <w:r w:rsidRPr="008B70C2">
        <w:rPr>
          <w:rFonts w:eastAsia="仿宋_GB2312"/>
          <w:sz w:val="32"/>
          <w:szCs w:val="32"/>
          <w:lang w:eastAsia="zh-CN"/>
        </w:rPr>
        <w:t xml:space="preserve"> </w:t>
      </w:r>
      <w:r w:rsidRPr="008B70C2">
        <w:rPr>
          <w:rFonts w:eastAsia="仿宋_GB2312"/>
          <w:sz w:val="32"/>
          <w:szCs w:val="32"/>
          <w:lang w:eastAsia="zh-CN"/>
        </w:rPr>
        <w:t>考核评价结果作为对被考核评价的人民政府、部门及其负责人综合考核评价及责任追究、奖惩任免、离任审计、生态环境保护资金安排等的重要依据。</w:t>
      </w:r>
    </w:p>
    <w:p w14:paraId="3B7BD55C" w14:textId="1DDB6013"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11 Assessment results are to serve as an important basis for the comprehensive assessment and accountability measures of the assessed people’s governments, departments, and their responsible persons, as well as for decisions regarding rewards, punishments, </w:t>
      </w:r>
      <w:r w:rsidR="00000000" w:rsidRPr="008B70C2">
        <w:rPr>
          <w:rFonts w:eastAsia="仿宋_GB2312"/>
          <w:sz w:val="32"/>
          <w:szCs w:val="32"/>
        </w:rPr>
        <w:lastRenderedPageBreak/>
        <w:t>incumbency, removals,</w:t>
      </w:r>
      <w:r>
        <w:rPr>
          <w:rFonts w:eastAsia="仿宋_GB2312" w:hint="eastAsia"/>
          <w:sz w:val="32"/>
          <w:szCs w:val="32"/>
          <w:lang w:eastAsia="zh-CN"/>
        </w:rPr>
        <w:t xml:space="preserve"> </w:t>
      </w:r>
      <w:r w:rsidR="00000000" w:rsidRPr="008B70C2">
        <w:rPr>
          <w:rFonts w:eastAsia="仿宋_GB2312"/>
          <w:sz w:val="32"/>
          <w:szCs w:val="32"/>
        </w:rPr>
        <w:t>post-tenure audits, and the allocation of ecological and environmental protection funds.</w:t>
      </w:r>
    </w:p>
    <w:p w14:paraId="73435214" w14:textId="69A81FB0"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第十二条</w:t>
      </w:r>
      <w:r w:rsidRPr="008B70C2">
        <w:rPr>
          <w:rFonts w:eastAsia="仿宋_GB2312"/>
          <w:sz w:val="32"/>
          <w:szCs w:val="32"/>
          <w:lang w:eastAsia="zh-CN"/>
        </w:rPr>
        <w:t xml:space="preserve"> </w:t>
      </w:r>
      <w:r w:rsidRPr="008B70C2">
        <w:rPr>
          <w:rFonts w:eastAsia="仿宋_GB2312"/>
          <w:sz w:val="32"/>
          <w:szCs w:val="32"/>
          <w:lang w:eastAsia="zh-CN"/>
        </w:rPr>
        <w:t>对考核评价结果为优秀等级的，予以通报表扬，并在生态环境保护资金安排和干部职务职级晋升、评优评先上优先考虑。</w:t>
      </w:r>
    </w:p>
    <w:p w14:paraId="78B0BE3A"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对考核评价结果为不合格等级的，予以通报批评，约谈其主要负责人，提出限期整改要求，并按照相关规定开展生态环境保护专项督察。</w:t>
      </w:r>
    </w:p>
    <w:p w14:paraId="2F7EA5BE" w14:textId="4573D93D"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12 People’s governments and departments attaining an “excellent” assessment rating shall be publicly commended and receive preferential treatment in the allocation of ecological and environmental protection funds, career promotion and commendation of officials.</w:t>
      </w:r>
    </w:p>
    <w:p w14:paraId="28A92871" w14:textId="77777777"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People’s governments and departments receiving an “unqualified” assessment rating shall be issued a public censure, be summoned for an official interview with their principal responsible person, be required to rectify the issues within a prescribed timeframe, and undergo special ecological and environmental protection supervisory inspections in accordance with applicable regulations.</w:t>
      </w:r>
    </w:p>
    <w:p w14:paraId="040C9A6A" w14:textId="71D483D1"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第十三条</w:t>
      </w:r>
      <w:r w:rsidRPr="008B70C2">
        <w:rPr>
          <w:rFonts w:eastAsia="仿宋_GB2312"/>
          <w:sz w:val="32"/>
          <w:szCs w:val="32"/>
          <w:lang w:eastAsia="zh-CN"/>
        </w:rPr>
        <w:t xml:space="preserve"> </w:t>
      </w:r>
      <w:r w:rsidRPr="008B70C2">
        <w:rPr>
          <w:rFonts w:eastAsia="仿宋_GB2312"/>
          <w:sz w:val="32"/>
          <w:szCs w:val="32"/>
          <w:lang w:eastAsia="zh-CN"/>
        </w:rPr>
        <w:t>未完成生态环境保护目标的地区，一年内暂停审批该地区新增重点污染物排放总量的建设项目环境影响评价文件。</w:t>
      </w:r>
    </w:p>
    <w:p w14:paraId="14F6903E" w14:textId="72D9968C"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对未完成生态环境保护目标的人民政府及其负责人和负有生态环境保护监督管理职责的部门及其负责人，实行环境保护目标</w:t>
      </w:r>
      <w:r w:rsidRPr="008B70C2">
        <w:rPr>
          <w:rFonts w:eastAsia="仿宋_GB2312"/>
          <w:sz w:val="32"/>
          <w:szCs w:val="32"/>
          <w:lang w:eastAsia="zh-CN"/>
        </w:rPr>
        <w:lastRenderedPageBreak/>
        <w:t>完成情况一票否决制，取消年度考核评优评先资格。</w:t>
      </w:r>
    </w:p>
    <w:p w14:paraId="520862FA"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对未完成生态环境保护目标的人民政府及负有生态环境保护监督管理职责的部门的主要责任人，一年内不得提拔使用或者转任重要职务，并依法予以处分。</w:t>
      </w:r>
    </w:p>
    <w:p w14:paraId="26CA0376" w14:textId="2B757DD9"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13 In regions where ecological and environmental protection objectives remain unfulfilled, the approval of environmental impact assessment documentation for new construction projects that contribute to key pollutant emission totals shall be subject to a one-year suspension.</w:t>
      </w:r>
    </w:p>
    <w:p w14:paraId="2EF39C43" w14:textId="77777777"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For the government and its responsible person and the department and its responsible person who fail to meet ecological and environmental protection objectives, a veto system shall be implemented, which shall preclude them from eligibility for annual evaluations and commendations.</w:t>
      </w:r>
    </w:p>
    <w:p w14:paraId="52BE7A60" w14:textId="77777777"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Primary responsible persons of the assessed government and department shall not be promoted or transferred to important positions within one year and shall be subject to disciplinary actions in accordance with law.</w:t>
      </w:r>
    </w:p>
    <w:p w14:paraId="1C2D58D0" w14:textId="20715E5A"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第十四条</w:t>
      </w:r>
      <w:r w:rsidRPr="008B70C2">
        <w:rPr>
          <w:rFonts w:eastAsia="仿宋_GB2312"/>
          <w:sz w:val="32"/>
          <w:szCs w:val="32"/>
          <w:lang w:eastAsia="zh-CN"/>
        </w:rPr>
        <w:t xml:space="preserve"> </w:t>
      </w:r>
      <w:r w:rsidRPr="008B70C2">
        <w:rPr>
          <w:rFonts w:eastAsia="仿宋_GB2312"/>
          <w:sz w:val="32"/>
          <w:szCs w:val="32"/>
          <w:lang w:eastAsia="zh-CN"/>
        </w:rPr>
        <w:t>负责考核评价和被考核评价的人民政府、部门及其工作人员在考核评价工作中不履行或者不正确履行职责、滥用职权、徇私舞弊、瞒报谎报、篡改数据、伪造资料等，由其上级机关，任免机关、单位或者监察机关按照规定追究有关单位和人员</w:t>
      </w:r>
      <w:r w:rsidRPr="008B70C2">
        <w:rPr>
          <w:rFonts w:eastAsia="仿宋_GB2312"/>
          <w:sz w:val="32"/>
          <w:szCs w:val="32"/>
          <w:lang w:eastAsia="zh-CN"/>
        </w:rPr>
        <w:lastRenderedPageBreak/>
        <w:t>的责任，并将相关信息纳入政务失信记录。</w:t>
      </w:r>
    </w:p>
    <w:p w14:paraId="437CB032" w14:textId="5201D27D"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14 If the responsible people’s governments, assessed people’s</w:t>
      </w:r>
      <w:r>
        <w:rPr>
          <w:rFonts w:eastAsia="仿宋_GB2312" w:hint="eastAsia"/>
          <w:sz w:val="32"/>
          <w:szCs w:val="32"/>
          <w:lang w:eastAsia="zh-CN"/>
        </w:rPr>
        <w:t xml:space="preserve"> </w:t>
      </w:r>
      <w:r w:rsidR="00000000" w:rsidRPr="008B70C2">
        <w:rPr>
          <w:rFonts w:eastAsia="仿宋_GB2312"/>
          <w:sz w:val="32"/>
          <w:szCs w:val="32"/>
        </w:rPr>
        <w:t>governments, relevant departments, or their staff fail to perform or improperly perform their duties, abuse their power, engage in favoritism and malpractice, or falsify information, their superior authority, appointment and removal authority or supervisory authority are to impose liability upon the implicated entities and personnel, and incorporate the relevant details into official records of administrative misconduct.</w:t>
      </w:r>
    </w:p>
    <w:p w14:paraId="00901D1B" w14:textId="34CE67EC"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第十五条</w:t>
      </w:r>
      <w:r w:rsidRPr="008B70C2">
        <w:rPr>
          <w:rFonts w:eastAsia="仿宋_GB2312"/>
          <w:sz w:val="32"/>
          <w:szCs w:val="32"/>
          <w:lang w:eastAsia="zh-CN"/>
        </w:rPr>
        <w:t xml:space="preserve"> </w:t>
      </w:r>
      <w:r w:rsidRPr="008B70C2">
        <w:rPr>
          <w:rFonts w:eastAsia="仿宋_GB2312"/>
          <w:sz w:val="32"/>
          <w:szCs w:val="32"/>
          <w:lang w:eastAsia="zh-CN"/>
        </w:rPr>
        <w:t>实行生态环境损害责任终身追究制。对违背科学发展要求、造成生态环境和资源严重破坏的有关人民政府及有关部门的主要负责人、直接负责的主管人员和其他直接责任人员（包括在职、调离、提拔或者退休的人员），应当严格追究责任。</w:t>
      </w:r>
    </w:p>
    <w:p w14:paraId="33B944C4" w14:textId="10E5D7C0"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15 A lifelong accountability system is to be implemented for ecological and environmental damage. The principal responsible persons, directly responsible persons in charge, and other directly responsible persons of governments and departments that violate scientific development principles and cause severe ecological and environmental damage shall be strictly held accountable, regardless of their current employment status, including those who are currently in office, transferred, promoted, or retired.</w:t>
      </w:r>
    </w:p>
    <w:p w14:paraId="33F0162A" w14:textId="7A9B09B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第十六条</w:t>
      </w:r>
      <w:r w:rsidRPr="008B70C2">
        <w:rPr>
          <w:rFonts w:eastAsia="仿宋_GB2312"/>
          <w:sz w:val="32"/>
          <w:szCs w:val="32"/>
          <w:lang w:eastAsia="zh-CN"/>
        </w:rPr>
        <w:t xml:space="preserve">  </w:t>
      </w:r>
      <w:r w:rsidRPr="008B70C2">
        <w:rPr>
          <w:rFonts w:eastAsia="仿宋_GB2312"/>
          <w:sz w:val="32"/>
          <w:szCs w:val="32"/>
          <w:lang w:eastAsia="zh-CN"/>
        </w:rPr>
        <w:t>县级以上人民政府负有生态环境保护监督管理职责</w:t>
      </w:r>
      <w:r w:rsidRPr="008B70C2">
        <w:rPr>
          <w:rFonts w:eastAsia="仿宋_GB2312"/>
          <w:sz w:val="32"/>
          <w:szCs w:val="32"/>
          <w:lang w:eastAsia="zh-CN"/>
        </w:rPr>
        <w:lastRenderedPageBreak/>
        <w:t>的部门发现存在应当追究生态环境损害责任情形的，应当按照职责依法对生态环境和资源损害问题进行调查，在根据调查结果依法作出处理决定的同时，对相关责任人应负责任和处理提出建议，按照干部管理权限将有关材料移送其上级机关，任免机关、单位或者监察机关按照规定追究责任。</w:t>
      </w:r>
    </w:p>
    <w:p w14:paraId="1C8F298B"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司法机关在生态环境和资源损害等案件处理过程中发现存在应当追究生态环境损害责任情形的，应当向相关责任人的上级机关，任免机关、单位或者监察机关提出处理建议。</w:t>
      </w:r>
    </w:p>
    <w:p w14:paraId="3B397CA2" w14:textId="7FA0777A"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16 The departments under the people’s governments at or above the county level responsible for the supervision and management of ecological and environmental protection shall, upon the discovery of circumstances warranting the pursuit of liability for ecological and environmental damage, conduct investigations into ecological and resource damage issues in accordance with their duties and law. Subsequent to these investigations, they are to render remedial actions in compliance with law, and concurrently propose recommendations concerning the liability and disciplinary measures to be imposed upon the implicated responsible persons. The relevant investigative materials are to be transferred to their superior administrative authority, appointment and removal authority or supervisory authority, in accordance with cadre management authority, which are to impose accountability upon the responsible parties in accordance with </w:t>
      </w:r>
      <w:r w:rsidR="00000000" w:rsidRPr="008B70C2">
        <w:rPr>
          <w:rFonts w:eastAsia="仿宋_GB2312"/>
          <w:sz w:val="32"/>
          <w:szCs w:val="32"/>
        </w:rPr>
        <w:lastRenderedPageBreak/>
        <w:t>applicable provisions.</w:t>
      </w:r>
    </w:p>
    <w:p w14:paraId="71FE492D" w14:textId="38BDA7F8"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Judicial authorities, during the adjudication of cases involving ecological and resource damage, shall, upon identifying instances necessitating the pursuit of liability for ecological and environmental damage, forward recommendations for disciplinary action to the superior administrative</w:t>
      </w:r>
      <w:r w:rsidR="008B70C2">
        <w:rPr>
          <w:rFonts w:eastAsia="仿宋_GB2312" w:hint="eastAsia"/>
          <w:sz w:val="32"/>
          <w:szCs w:val="32"/>
          <w:lang w:eastAsia="zh-CN"/>
        </w:rPr>
        <w:t xml:space="preserve"> </w:t>
      </w:r>
      <w:r w:rsidRPr="008B70C2">
        <w:rPr>
          <w:rFonts w:eastAsia="仿宋_GB2312"/>
          <w:sz w:val="32"/>
          <w:szCs w:val="32"/>
        </w:rPr>
        <w:t>authority, appointment and removal authority or supervisory authority of the implicated responsible persons.</w:t>
      </w:r>
    </w:p>
    <w:p w14:paraId="108D46BD" w14:textId="14E658E8"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第十七条</w:t>
      </w:r>
      <w:r w:rsidRPr="008B70C2">
        <w:rPr>
          <w:rFonts w:eastAsia="仿宋_GB2312"/>
          <w:sz w:val="32"/>
          <w:szCs w:val="32"/>
          <w:lang w:eastAsia="zh-CN"/>
        </w:rPr>
        <w:t xml:space="preserve">  </w:t>
      </w:r>
      <w:r w:rsidRPr="008B70C2">
        <w:rPr>
          <w:rFonts w:eastAsia="仿宋_GB2312"/>
          <w:sz w:val="32"/>
          <w:szCs w:val="32"/>
          <w:lang w:eastAsia="zh-CN"/>
        </w:rPr>
        <w:t>县级以上人民代表大会常务委员会综合运用听取审议报告、执法检查、询问、质询、特定问题调查等方式，加强对生态环境保护问题及考核评价和责任追究工作的监督，发现存在应当追究生态环境损害责任情形的，可以向本级人民政府提出处理建议。人民政府应当在收到处理建议之日起三个月内向常务委员会提交研究处理情况报告。</w:t>
      </w:r>
    </w:p>
    <w:p w14:paraId="16DF71F7" w14:textId="11D268BD"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17 People’s congresses standing committees at or above the county level are to employ a range of methods, including the review of submitted reports, law enforcement inspections, formal inquiries, interpellations, and designated investigative procedures, to strengthen supervision over ecological and environmental protection issues, as well as the assessment, evaluation, and accountability processes. Upon the identification of situations that necessitate the pursuit of liability for ecological and environmental damage, they may issue recommendations for remedial action to the people’s governments at </w:t>
      </w:r>
      <w:r w:rsidR="00000000" w:rsidRPr="008B70C2">
        <w:rPr>
          <w:rFonts w:eastAsia="仿宋_GB2312"/>
          <w:sz w:val="32"/>
          <w:szCs w:val="32"/>
        </w:rPr>
        <w:lastRenderedPageBreak/>
        <w:t>the same level, which shall provide a report detailing the outcomes of their deliberation and subsequent actions to the standing committee within a period of three months from the date of receipt of such recommendations.</w:t>
      </w:r>
    </w:p>
    <w:p w14:paraId="42B8991F" w14:textId="05DF0A9D"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第十八条</w:t>
      </w:r>
      <w:r w:rsidRPr="008B70C2">
        <w:rPr>
          <w:rFonts w:eastAsia="仿宋_GB2312"/>
          <w:sz w:val="32"/>
          <w:szCs w:val="32"/>
          <w:lang w:eastAsia="zh-CN"/>
        </w:rPr>
        <w:t xml:space="preserve">  </w:t>
      </w:r>
      <w:r w:rsidRPr="008B70C2">
        <w:rPr>
          <w:rFonts w:eastAsia="仿宋_GB2312"/>
          <w:sz w:val="32"/>
          <w:szCs w:val="32"/>
          <w:lang w:eastAsia="zh-CN"/>
        </w:rPr>
        <w:t>有关人民政府及负有生态环境保护监督管理职责的部门对考核评价结果有异议的，可以向负责对其考核评价的人民政府提出书面申诉。负责考核评价的人民政府应当受理并进行处理。</w:t>
      </w:r>
    </w:p>
    <w:p w14:paraId="3ED70B2F"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有关人民政府及负有生态环境保护监督管理职责的部门对责任追究决定有异议的，可以向作出责任追究决定的机关和部门提出书面申诉。有关机关和部门应当依据相关规定受理并进行处理。申诉期间，不停止责任追究决定的执行。</w:t>
      </w:r>
    </w:p>
    <w:p w14:paraId="5AD4EA81" w14:textId="7CBF078C"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lang w:eastAsia="zh-CN"/>
        </w:rPr>
        <w:t>Section</w:t>
      </w:r>
      <w:r w:rsidR="00000000" w:rsidRPr="008B70C2">
        <w:rPr>
          <w:rFonts w:eastAsia="仿宋_GB2312"/>
          <w:sz w:val="32"/>
          <w:szCs w:val="32"/>
          <w:lang w:eastAsia="zh-CN"/>
        </w:rPr>
        <w:t xml:space="preserve"> 18 In the event that a people’s government or a department with supervisory and administrative duties related to ecological and environmental protection disputes an evaluation outcome, they may submit a formal written appeal to the people’s government responsible for the evaluation. </w:t>
      </w:r>
      <w:r w:rsidR="00000000" w:rsidRPr="008B70C2">
        <w:rPr>
          <w:rFonts w:eastAsia="仿宋_GB2312"/>
          <w:sz w:val="32"/>
          <w:szCs w:val="32"/>
        </w:rPr>
        <w:t>The responsible people’s government shall accept and handle such appeal.</w:t>
      </w:r>
    </w:p>
    <w:p w14:paraId="35354E4D" w14:textId="77777777" w:rsidR="00BF4F51" w:rsidRPr="008B70C2" w:rsidRDefault="00000000" w:rsidP="008B70C2">
      <w:pPr>
        <w:spacing w:line="590" w:lineRule="exact"/>
        <w:ind w:firstLineChars="200" w:firstLine="640"/>
        <w:jc w:val="both"/>
        <w:rPr>
          <w:rFonts w:eastAsia="仿宋_GB2312"/>
          <w:sz w:val="32"/>
          <w:szCs w:val="32"/>
        </w:rPr>
      </w:pPr>
      <w:r w:rsidRPr="008B70C2">
        <w:rPr>
          <w:rFonts w:eastAsia="仿宋_GB2312"/>
          <w:sz w:val="32"/>
          <w:szCs w:val="32"/>
        </w:rPr>
        <w:t xml:space="preserve">If a people’s government or a department with supervisory and administrative duties related to ecological and environmental protection contest a determination of liability, they may lodge a formal written appeal with the issuing authority or department. The relevant authority </w:t>
      </w:r>
      <w:r w:rsidRPr="008B70C2">
        <w:rPr>
          <w:rFonts w:eastAsia="仿宋_GB2312"/>
          <w:sz w:val="32"/>
          <w:szCs w:val="32"/>
        </w:rPr>
        <w:lastRenderedPageBreak/>
        <w:t>or department shall accept and handle such appeal in accordance with applicable provisions. During the appeal process, implementation of the determination of liability remains in effect.</w:t>
      </w:r>
    </w:p>
    <w:p w14:paraId="627E1103" w14:textId="58A6E799"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第十九条</w:t>
      </w:r>
      <w:r w:rsidRPr="008B70C2">
        <w:rPr>
          <w:rFonts w:eastAsia="仿宋_GB2312"/>
          <w:sz w:val="32"/>
          <w:szCs w:val="32"/>
          <w:lang w:eastAsia="zh-CN"/>
        </w:rPr>
        <w:t xml:space="preserve">  </w:t>
      </w:r>
      <w:r w:rsidRPr="008B70C2">
        <w:rPr>
          <w:rFonts w:eastAsia="仿宋_GB2312"/>
          <w:sz w:val="32"/>
          <w:szCs w:val="32"/>
          <w:lang w:eastAsia="zh-CN"/>
        </w:rPr>
        <w:t>县级以上人民政府可以根据本规定制定生态环境保护考核评价实施细则。</w:t>
      </w:r>
    </w:p>
    <w:p w14:paraId="337F77B1" w14:textId="348EC876"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19 People’s governments at or above the county level may formulate detailed implementation rules based on these Provisions.</w:t>
      </w:r>
    </w:p>
    <w:p w14:paraId="3C1F86D6" w14:textId="77777777" w:rsidR="00BF4F51" w:rsidRPr="008B70C2" w:rsidRDefault="00000000" w:rsidP="008B70C2">
      <w:pPr>
        <w:spacing w:line="590" w:lineRule="exact"/>
        <w:ind w:firstLineChars="200" w:firstLine="640"/>
        <w:jc w:val="both"/>
        <w:rPr>
          <w:rFonts w:eastAsia="仿宋_GB2312"/>
          <w:sz w:val="32"/>
          <w:szCs w:val="32"/>
          <w:lang w:eastAsia="zh-CN"/>
        </w:rPr>
      </w:pPr>
      <w:r w:rsidRPr="008B70C2">
        <w:rPr>
          <w:rFonts w:eastAsia="仿宋_GB2312"/>
          <w:sz w:val="32"/>
          <w:szCs w:val="32"/>
          <w:lang w:eastAsia="zh-CN"/>
        </w:rPr>
        <w:t>第二十条</w:t>
      </w:r>
      <w:r w:rsidRPr="008B70C2">
        <w:rPr>
          <w:rFonts w:eastAsia="仿宋_GB2312"/>
          <w:sz w:val="32"/>
          <w:szCs w:val="32"/>
          <w:lang w:eastAsia="zh-CN"/>
        </w:rPr>
        <w:t xml:space="preserve"> </w:t>
      </w:r>
      <w:r w:rsidRPr="008B70C2">
        <w:rPr>
          <w:rFonts w:eastAsia="仿宋_GB2312"/>
          <w:sz w:val="32"/>
          <w:szCs w:val="32"/>
          <w:lang w:eastAsia="zh-CN"/>
        </w:rPr>
        <w:t>本规定自</w:t>
      </w:r>
      <w:r w:rsidRPr="008B70C2">
        <w:rPr>
          <w:rFonts w:eastAsia="仿宋_GB2312"/>
          <w:sz w:val="32"/>
          <w:szCs w:val="32"/>
          <w:lang w:eastAsia="zh-CN"/>
        </w:rPr>
        <w:t xml:space="preserve"> 2023 </w:t>
      </w:r>
      <w:r w:rsidRPr="008B70C2">
        <w:rPr>
          <w:rFonts w:eastAsia="仿宋_GB2312"/>
          <w:sz w:val="32"/>
          <w:szCs w:val="32"/>
          <w:lang w:eastAsia="zh-CN"/>
        </w:rPr>
        <w:t>年</w:t>
      </w:r>
      <w:r w:rsidRPr="008B70C2">
        <w:rPr>
          <w:rFonts w:eastAsia="仿宋_GB2312"/>
          <w:sz w:val="32"/>
          <w:szCs w:val="32"/>
          <w:lang w:eastAsia="zh-CN"/>
        </w:rPr>
        <w:t xml:space="preserve"> 1 </w:t>
      </w:r>
      <w:r w:rsidRPr="008B70C2">
        <w:rPr>
          <w:rFonts w:eastAsia="仿宋_GB2312"/>
          <w:sz w:val="32"/>
          <w:szCs w:val="32"/>
          <w:lang w:eastAsia="zh-CN"/>
        </w:rPr>
        <w:t>月</w:t>
      </w:r>
      <w:r w:rsidRPr="008B70C2">
        <w:rPr>
          <w:rFonts w:eastAsia="仿宋_GB2312"/>
          <w:sz w:val="32"/>
          <w:szCs w:val="32"/>
          <w:lang w:eastAsia="zh-CN"/>
        </w:rPr>
        <w:t xml:space="preserve"> 1 </w:t>
      </w:r>
      <w:r w:rsidRPr="008B70C2">
        <w:rPr>
          <w:rFonts w:eastAsia="仿宋_GB2312"/>
          <w:sz w:val="32"/>
          <w:szCs w:val="32"/>
          <w:lang w:eastAsia="zh-CN"/>
        </w:rPr>
        <w:t>日起施行。</w:t>
      </w:r>
    </w:p>
    <w:p w14:paraId="20849FCD" w14:textId="6016253F" w:rsidR="00BF4F51" w:rsidRPr="008B70C2" w:rsidRDefault="008B70C2" w:rsidP="008B70C2">
      <w:pPr>
        <w:spacing w:line="590" w:lineRule="exact"/>
        <w:ind w:firstLineChars="200" w:firstLine="643"/>
        <w:jc w:val="both"/>
        <w:rPr>
          <w:rFonts w:eastAsia="仿宋_GB2312"/>
          <w:sz w:val="32"/>
          <w:szCs w:val="32"/>
        </w:rPr>
      </w:pPr>
      <w:r w:rsidRPr="008B70C2">
        <w:rPr>
          <w:rFonts w:eastAsia="仿宋_GB2312"/>
          <w:b/>
          <w:bCs/>
          <w:sz w:val="32"/>
          <w:szCs w:val="32"/>
        </w:rPr>
        <w:t>Section</w:t>
      </w:r>
      <w:r w:rsidR="00000000" w:rsidRPr="008B70C2">
        <w:rPr>
          <w:rFonts w:eastAsia="仿宋_GB2312"/>
          <w:sz w:val="32"/>
          <w:szCs w:val="32"/>
        </w:rPr>
        <w:t xml:space="preserve"> 20 These Provisions shall come into force on January 1, 2023.</w:t>
      </w:r>
    </w:p>
    <w:sectPr w:rsidR="00BF4F51" w:rsidRPr="008B70C2">
      <w:footerReference w:type="even" r:id="rId8"/>
      <w:footerReference w:type="default" r:id="rId9"/>
      <w:pgSz w:w="11910" w:h="16840"/>
      <w:pgMar w:top="1920" w:right="1200" w:bottom="1620" w:left="1480" w:header="0" w:footer="1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5528" w14:textId="77777777" w:rsidR="008664F7" w:rsidRDefault="008664F7">
      <w:r>
        <w:separator/>
      </w:r>
    </w:p>
  </w:endnote>
  <w:endnote w:type="continuationSeparator" w:id="0">
    <w:p w14:paraId="72FB6AAA" w14:textId="77777777" w:rsidR="008664F7" w:rsidRDefault="0086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CFBD" w14:textId="77777777" w:rsidR="00BF4F51" w:rsidRDefault="00000000">
    <w:pPr>
      <w:pStyle w:val="a3"/>
      <w:spacing w:line="14" w:lineRule="auto"/>
      <w:ind w:left="0"/>
      <w:jc w:val="left"/>
      <w:rPr>
        <w:sz w:val="20"/>
      </w:rPr>
    </w:pPr>
    <w:r>
      <w:pict w14:anchorId="55D722EF">
        <v:shapetype id="_x0000_t202" coordsize="21600,21600" o:spt="202" path="m,l,21600r21600,l21600,xe">
          <v:stroke joinstyle="miter"/>
          <v:path gradientshapeok="t" o:connecttype="rect"/>
        </v:shapetype>
        <v:shape id="docshape2" o:spid="_x0000_s3074" type="#_x0000_t202" style="position:absolute;margin-left:78.4pt;margin-top:758.9pt;width:58.05pt;height:16pt;z-index:-251658240;mso-position-horizontal-relative:page;mso-position-vertical-relative:page;mso-width-relative:page;mso-height-relative:page" filled="f" stroked="f">
          <v:textbox style="mso-next-textbox:#docshape2" inset="0,0,0,0">
            <w:txbxContent>
              <w:p w14:paraId="6F7CC353" w14:textId="77777777" w:rsidR="00BF4F51" w:rsidRDefault="00000000">
                <w:pPr>
                  <w:pStyle w:val="a3"/>
                  <w:spacing w:line="320" w:lineRule="exact"/>
                  <w:ind w:left="20"/>
                  <w:jc w:val="left"/>
                  <w:rPr>
                    <w:rFonts w:ascii="宋体" w:hAnsi="宋体"/>
                  </w:rPr>
                </w:pPr>
                <w:r>
                  <w:rPr>
                    <w:rFonts w:ascii="宋体" w:hAnsi="宋体"/>
                  </w:rPr>
                  <w:t>—</w:t>
                </w:r>
                <w:r>
                  <w:rPr>
                    <w:rFonts w:ascii="宋体" w:hAnsi="宋体"/>
                    <w:spacing w:val="-3"/>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10</w:t>
                </w:r>
                <w:r>
                  <w:rPr>
                    <w:rFonts w:ascii="宋体" w:hAnsi="宋体"/>
                  </w:rPr>
                  <w:fldChar w:fldCharType="end"/>
                </w:r>
                <w:r>
                  <w:rPr>
                    <w:rFonts w:ascii="宋体" w:hAnsi="宋体"/>
                    <w:spacing w:val="-2"/>
                  </w:rPr>
                  <w:t xml:space="preserve"> </w:t>
                </w:r>
                <w:r>
                  <w:rPr>
                    <w:rFonts w:ascii="宋体" w:hAnsi="宋体"/>
                    <w:spacing w:val="-12"/>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BB1A" w14:textId="77777777" w:rsidR="00BF4F51" w:rsidRDefault="00000000">
    <w:pPr>
      <w:pStyle w:val="a3"/>
      <w:spacing w:line="14" w:lineRule="auto"/>
      <w:ind w:left="0"/>
      <w:jc w:val="left"/>
      <w:rPr>
        <w:sz w:val="20"/>
      </w:rPr>
    </w:pPr>
    <w:r>
      <w:pict w14:anchorId="396404D0">
        <v:shapetype id="_x0000_t202" coordsize="21600,21600" o:spt="202" path="m,l,21600r21600,l21600,xe">
          <v:stroke joinstyle="miter"/>
          <v:path gradientshapeok="t" o:connecttype="rect"/>
        </v:shapetype>
        <v:shape id="docshape1" o:spid="_x0000_s3073" type="#_x0000_t202" style="position:absolute;margin-left:464.6pt;margin-top:758.9pt;width:58.05pt;height:16pt;z-index:-251659264;mso-position-horizontal-relative:page;mso-position-vertical-relative:page;mso-width-relative:page;mso-height-relative:page" filled="f" stroked="f">
          <v:textbox style="mso-next-textbox:#docshape1" inset="0,0,0,0">
            <w:txbxContent>
              <w:p w14:paraId="4D197F2C" w14:textId="77777777" w:rsidR="00BF4F51" w:rsidRDefault="00000000">
                <w:pPr>
                  <w:pStyle w:val="a3"/>
                  <w:spacing w:line="320" w:lineRule="exact"/>
                  <w:ind w:left="20"/>
                  <w:jc w:val="left"/>
                  <w:rPr>
                    <w:rFonts w:ascii="宋体" w:hAnsi="宋体"/>
                  </w:rPr>
                </w:pPr>
                <w:r>
                  <w:rPr>
                    <w:rFonts w:ascii="宋体" w:hAnsi="宋体"/>
                  </w:rPr>
                  <w:t>—</w:t>
                </w:r>
                <w:r>
                  <w:rPr>
                    <w:rFonts w:ascii="宋体" w:hAnsi="宋体"/>
                    <w:spacing w:val="-3"/>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11</w:t>
                </w:r>
                <w:r>
                  <w:rPr>
                    <w:rFonts w:ascii="宋体" w:hAnsi="宋体"/>
                  </w:rPr>
                  <w:fldChar w:fldCharType="end"/>
                </w:r>
                <w:r>
                  <w:rPr>
                    <w:rFonts w:ascii="宋体" w:hAnsi="宋体"/>
                    <w:spacing w:val="-2"/>
                  </w:rPr>
                  <w:t xml:space="preserve"> </w:t>
                </w:r>
                <w:r>
                  <w:rPr>
                    <w:rFonts w:ascii="宋体" w:hAnsi="宋体"/>
                    <w:spacing w:val="-12"/>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4908" w14:textId="77777777" w:rsidR="008664F7" w:rsidRDefault="008664F7">
      <w:r>
        <w:separator/>
      </w:r>
    </w:p>
  </w:footnote>
  <w:footnote w:type="continuationSeparator" w:id="0">
    <w:p w14:paraId="26272B74" w14:textId="77777777" w:rsidR="008664F7" w:rsidRDefault="00866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872" w:hanging="405"/>
      </w:pPr>
      <w:rPr>
        <w:rFonts w:ascii="Times New Roman" w:eastAsia="Times New Roman" w:hAnsi="Times New Roman" w:cs="Times New Roman" w:hint="default"/>
        <w:b w:val="0"/>
        <w:bCs w:val="0"/>
        <w:i w:val="0"/>
        <w:iCs w:val="0"/>
        <w:w w:val="99"/>
        <w:sz w:val="28"/>
        <w:szCs w:val="28"/>
        <w:lang w:val="en-US" w:eastAsia="en-US" w:bidi="ar-SA"/>
      </w:rPr>
    </w:lvl>
    <w:lvl w:ilvl="1">
      <w:numFmt w:val="bullet"/>
      <w:lvlText w:val="•"/>
      <w:lvlJc w:val="left"/>
      <w:pPr>
        <w:ind w:left="1714" w:hanging="405"/>
      </w:pPr>
      <w:rPr>
        <w:rFonts w:hint="default"/>
        <w:lang w:val="en-US" w:eastAsia="en-US" w:bidi="ar-SA"/>
      </w:rPr>
    </w:lvl>
    <w:lvl w:ilvl="2">
      <w:numFmt w:val="bullet"/>
      <w:lvlText w:val="•"/>
      <w:lvlJc w:val="left"/>
      <w:pPr>
        <w:ind w:left="2549" w:hanging="405"/>
      </w:pPr>
      <w:rPr>
        <w:rFonts w:hint="default"/>
        <w:lang w:val="en-US" w:eastAsia="en-US" w:bidi="ar-SA"/>
      </w:rPr>
    </w:lvl>
    <w:lvl w:ilvl="3">
      <w:numFmt w:val="bullet"/>
      <w:lvlText w:val="•"/>
      <w:lvlJc w:val="left"/>
      <w:pPr>
        <w:ind w:left="3383" w:hanging="405"/>
      </w:pPr>
      <w:rPr>
        <w:rFonts w:hint="default"/>
        <w:lang w:val="en-US" w:eastAsia="en-US" w:bidi="ar-SA"/>
      </w:rPr>
    </w:lvl>
    <w:lvl w:ilvl="4">
      <w:numFmt w:val="bullet"/>
      <w:lvlText w:val="•"/>
      <w:lvlJc w:val="left"/>
      <w:pPr>
        <w:ind w:left="4218" w:hanging="405"/>
      </w:pPr>
      <w:rPr>
        <w:rFonts w:hint="default"/>
        <w:lang w:val="en-US" w:eastAsia="en-US" w:bidi="ar-SA"/>
      </w:rPr>
    </w:lvl>
    <w:lvl w:ilvl="5">
      <w:numFmt w:val="bullet"/>
      <w:lvlText w:val="•"/>
      <w:lvlJc w:val="left"/>
      <w:pPr>
        <w:ind w:left="5053" w:hanging="405"/>
      </w:pPr>
      <w:rPr>
        <w:rFonts w:hint="default"/>
        <w:lang w:val="en-US" w:eastAsia="en-US" w:bidi="ar-SA"/>
      </w:rPr>
    </w:lvl>
    <w:lvl w:ilvl="6">
      <w:numFmt w:val="bullet"/>
      <w:lvlText w:val="•"/>
      <w:lvlJc w:val="left"/>
      <w:pPr>
        <w:ind w:left="5887" w:hanging="405"/>
      </w:pPr>
      <w:rPr>
        <w:rFonts w:hint="default"/>
        <w:lang w:val="en-US" w:eastAsia="en-US" w:bidi="ar-SA"/>
      </w:rPr>
    </w:lvl>
    <w:lvl w:ilvl="7">
      <w:numFmt w:val="bullet"/>
      <w:lvlText w:val="•"/>
      <w:lvlJc w:val="left"/>
      <w:pPr>
        <w:ind w:left="6722" w:hanging="405"/>
      </w:pPr>
      <w:rPr>
        <w:rFonts w:hint="default"/>
        <w:lang w:val="en-US" w:eastAsia="en-US" w:bidi="ar-SA"/>
      </w:rPr>
    </w:lvl>
    <w:lvl w:ilvl="8">
      <w:numFmt w:val="bullet"/>
      <w:lvlText w:val="•"/>
      <w:lvlJc w:val="left"/>
      <w:pPr>
        <w:ind w:left="7557" w:hanging="405"/>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468" w:hanging="405"/>
      </w:pPr>
      <w:rPr>
        <w:rFonts w:ascii="Times New Roman" w:eastAsia="Times New Roman" w:hAnsi="Times New Roman" w:cs="Times New Roman" w:hint="default"/>
        <w:b w:val="0"/>
        <w:bCs w:val="0"/>
        <w:i w:val="0"/>
        <w:iCs w:val="0"/>
        <w:w w:val="99"/>
        <w:sz w:val="28"/>
        <w:szCs w:val="28"/>
        <w:lang w:val="en-US" w:eastAsia="en-US" w:bidi="ar-SA"/>
      </w:rPr>
    </w:lvl>
    <w:lvl w:ilvl="1">
      <w:numFmt w:val="bullet"/>
      <w:lvlText w:val="•"/>
      <w:lvlJc w:val="left"/>
      <w:pPr>
        <w:ind w:left="1336" w:hanging="405"/>
      </w:pPr>
      <w:rPr>
        <w:rFonts w:hint="default"/>
        <w:lang w:val="en-US" w:eastAsia="en-US" w:bidi="ar-SA"/>
      </w:rPr>
    </w:lvl>
    <w:lvl w:ilvl="2">
      <w:numFmt w:val="bullet"/>
      <w:lvlText w:val="•"/>
      <w:lvlJc w:val="left"/>
      <w:pPr>
        <w:ind w:left="2213" w:hanging="405"/>
      </w:pPr>
      <w:rPr>
        <w:rFonts w:hint="default"/>
        <w:lang w:val="en-US" w:eastAsia="en-US" w:bidi="ar-SA"/>
      </w:rPr>
    </w:lvl>
    <w:lvl w:ilvl="3">
      <w:numFmt w:val="bullet"/>
      <w:lvlText w:val="•"/>
      <w:lvlJc w:val="left"/>
      <w:pPr>
        <w:ind w:left="3089" w:hanging="405"/>
      </w:pPr>
      <w:rPr>
        <w:rFonts w:hint="default"/>
        <w:lang w:val="en-US" w:eastAsia="en-US" w:bidi="ar-SA"/>
      </w:rPr>
    </w:lvl>
    <w:lvl w:ilvl="4">
      <w:numFmt w:val="bullet"/>
      <w:lvlText w:val="•"/>
      <w:lvlJc w:val="left"/>
      <w:pPr>
        <w:ind w:left="3966" w:hanging="405"/>
      </w:pPr>
      <w:rPr>
        <w:rFonts w:hint="default"/>
        <w:lang w:val="en-US" w:eastAsia="en-US" w:bidi="ar-SA"/>
      </w:rPr>
    </w:lvl>
    <w:lvl w:ilvl="5">
      <w:numFmt w:val="bullet"/>
      <w:lvlText w:val="•"/>
      <w:lvlJc w:val="left"/>
      <w:pPr>
        <w:ind w:left="4843" w:hanging="405"/>
      </w:pPr>
      <w:rPr>
        <w:rFonts w:hint="default"/>
        <w:lang w:val="en-US" w:eastAsia="en-US" w:bidi="ar-SA"/>
      </w:rPr>
    </w:lvl>
    <w:lvl w:ilvl="6">
      <w:numFmt w:val="bullet"/>
      <w:lvlText w:val="•"/>
      <w:lvlJc w:val="left"/>
      <w:pPr>
        <w:ind w:left="5719" w:hanging="405"/>
      </w:pPr>
      <w:rPr>
        <w:rFonts w:hint="default"/>
        <w:lang w:val="en-US" w:eastAsia="en-US" w:bidi="ar-SA"/>
      </w:rPr>
    </w:lvl>
    <w:lvl w:ilvl="7">
      <w:numFmt w:val="bullet"/>
      <w:lvlText w:val="•"/>
      <w:lvlJc w:val="left"/>
      <w:pPr>
        <w:ind w:left="6596" w:hanging="405"/>
      </w:pPr>
      <w:rPr>
        <w:rFonts w:hint="default"/>
        <w:lang w:val="en-US" w:eastAsia="en-US" w:bidi="ar-SA"/>
      </w:rPr>
    </w:lvl>
    <w:lvl w:ilvl="8">
      <w:numFmt w:val="bullet"/>
      <w:lvlText w:val="•"/>
      <w:lvlJc w:val="left"/>
      <w:pPr>
        <w:ind w:left="7473" w:hanging="405"/>
      </w:pPr>
      <w:rPr>
        <w:rFonts w:hint="default"/>
        <w:lang w:val="en-US" w:eastAsia="en-US" w:bidi="ar-SA"/>
      </w:rPr>
    </w:lvl>
  </w:abstractNum>
  <w:abstractNum w:abstractNumId="2" w15:restartNumberingAfterBreak="0">
    <w:nsid w:val="50A34B87"/>
    <w:multiLevelType w:val="hybridMultilevel"/>
    <w:tmpl w:val="8ECC8D3C"/>
    <w:lvl w:ilvl="0" w:tplc="5FD0247E">
      <w:start w:val="1"/>
      <w:numFmt w:val="upperRoman"/>
      <w:lvlText w:val="(%1)"/>
      <w:lvlJc w:val="left"/>
      <w:pPr>
        <w:ind w:left="10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6416E5C"/>
    <w:multiLevelType w:val="hybridMultilevel"/>
    <w:tmpl w:val="24AADF60"/>
    <w:lvl w:ilvl="0" w:tplc="5FD0247E">
      <w:start w:val="1"/>
      <w:numFmt w:val="upperRoman"/>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2100129644">
    <w:abstractNumId w:val="1"/>
  </w:num>
  <w:num w:numId="2" w16cid:durableId="726151425">
    <w:abstractNumId w:val="0"/>
  </w:num>
  <w:num w:numId="3" w16cid:durableId="799346997">
    <w:abstractNumId w:val="2"/>
  </w:num>
  <w:num w:numId="4" w16cid:durableId="1398044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F4F51"/>
    <w:rsid w:val="00570C6B"/>
    <w:rsid w:val="008664F7"/>
    <w:rsid w:val="008B70C2"/>
    <w:rsid w:val="00B94781"/>
    <w:rsid w:val="00BF4F51"/>
    <w:rsid w:val="21C45376"/>
    <w:rsid w:val="2B7C47AF"/>
    <w:rsid w:val="2CD7041F"/>
    <w:rsid w:val="36B01604"/>
    <w:rsid w:val="6A554448"/>
    <w:rsid w:val="6F1A6664"/>
    <w:rsid w:val="703638B2"/>
    <w:rsid w:val="7A146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FFAC916"/>
  <w15:docId w15:val="{51EC8001-0096-4A27-A616-519B9FDB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8"/>
      <w:jc w:val="both"/>
    </w:pPr>
    <w:rPr>
      <w:sz w:val="28"/>
      <w:szCs w:val="28"/>
    </w:rPr>
  </w:style>
  <w:style w:type="paragraph" w:styleId="a4">
    <w:name w:val="Title"/>
    <w:basedOn w:val="a"/>
    <w:uiPriority w:val="1"/>
    <w:qFormat/>
    <w:pPr>
      <w:spacing w:before="313"/>
      <w:ind w:left="619" w:right="781" w:hanging="2"/>
      <w:jc w:val="center"/>
    </w:pPr>
    <w:rPr>
      <w:b/>
      <w:bCs/>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46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2389</Words>
  <Characters>13621</Characters>
  <Application>Microsoft Office Word</Application>
  <DocSecurity>0</DocSecurity>
  <Lines>113</Lines>
  <Paragraphs>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琼常办函[2007]  号</dc:title>
  <dc:creator>微软用户</dc:creator>
  <cp:lastModifiedBy>ZJX</cp:lastModifiedBy>
  <cp:revision>3</cp:revision>
  <dcterms:created xsi:type="dcterms:W3CDTF">2025-05-09T12:50:00Z</dcterms:created>
  <dcterms:modified xsi:type="dcterms:W3CDTF">2025-05-29T06:33:00Z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2016</vt:lpwstr>
  </property>
  <property fmtid="{D5CDD505-2E9C-101B-9397-08002B2CF9AE}" pid="4" name="LastSaved">
    <vt:filetime>2025-05-09T00:00:00Z</vt:filetime>
  </property>
  <property fmtid="{D5CDD505-2E9C-101B-9397-08002B2CF9AE}" pid="5" name="Producer">
    <vt:lpwstr>Microsoft® Word 2016</vt:lpwstr>
  </property>
  <property fmtid="{D5CDD505-2E9C-101B-9397-08002B2CF9AE}" pid="6" name="KSOTemplateDocerSaveRecord">
    <vt:lpwstr>eyJoZGlkIjoiMzRlN2IwZmE3YmM0OTQwZTYwNjU1MzRiMDExMWI0OWQiLCJ1c2VySWQiOiI1Mzg3NDE5MTUifQ==</vt:lpwstr>
  </property>
  <property fmtid="{D5CDD505-2E9C-101B-9397-08002B2CF9AE}" pid="7" name="KSOProductBuildVer">
    <vt:lpwstr>2052-12.1.0.21171</vt:lpwstr>
  </property>
  <property fmtid="{D5CDD505-2E9C-101B-9397-08002B2CF9AE}" pid="8" name="ICV">
    <vt:lpwstr>D883D758C37948FBA36360C3889375B6_12</vt:lpwstr>
  </property>
</Properties>
</file>