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40F9" w14:textId="6397CC06" w:rsidR="00936C35" w:rsidRPr="00DA5F6A" w:rsidRDefault="00000000" w:rsidP="00DA5F6A">
      <w:pPr>
        <w:spacing w:line="360" w:lineRule="auto"/>
        <w:jc w:val="center"/>
        <w:rPr>
          <w:rFonts w:eastAsia="方正小标宋简体"/>
          <w:sz w:val="36"/>
          <w:szCs w:val="36"/>
        </w:rPr>
      </w:pPr>
      <w:r w:rsidRPr="00DA5F6A">
        <w:rPr>
          <w:rFonts w:eastAsia="方正小标宋简体"/>
          <w:sz w:val="36"/>
          <w:szCs w:val="36"/>
        </w:rPr>
        <w:t>海南省人民代表大会常务委员会关于在海南自由贸易</w:t>
      </w:r>
      <w:proofErr w:type="gramStart"/>
      <w:r w:rsidRPr="00DA5F6A">
        <w:rPr>
          <w:rFonts w:eastAsia="方正小标宋简体"/>
          <w:sz w:val="36"/>
          <w:szCs w:val="36"/>
        </w:rPr>
        <w:t>港取消</w:t>
      </w:r>
      <w:proofErr w:type="gramEnd"/>
      <w:r w:rsidRPr="00DA5F6A">
        <w:rPr>
          <w:rFonts w:eastAsia="方正小标宋简体"/>
          <w:sz w:val="36"/>
          <w:szCs w:val="36"/>
        </w:rPr>
        <w:t>乙级水利工程质量检测单位资质认定等六项行政许可事项的决定</w:t>
      </w:r>
    </w:p>
    <w:p w14:paraId="7E3BEF8E" w14:textId="77777777" w:rsidR="00691970" w:rsidRPr="00DA5F6A" w:rsidRDefault="00691970" w:rsidP="00DA5F6A">
      <w:pPr>
        <w:spacing w:line="360" w:lineRule="auto"/>
        <w:jc w:val="center"/>
        <w:rPr>
          <w:rFonts w:eastAsia="方正小标宋简体"/>
          <w:b/>
          <w:bCs/>
          <w:sz w:val="36"/>
          <w:szCs w:val="36"/>
        </w:rPr>
      </w:pPr>
      <w:r w:rsidRPr="00DA5F6A">
        <w:rPr>
          <w:rFonts w:eastAsia="方正小标宋简体"/>
          <w:b/>
          <w:bCs/>
          <w:sz w:val="36"/>
          <w:szCs w:val="36"/>
        </w:rPr>
        <w:t>Decision of the Standing Committee of the Hainan Provincial People’s Congress on Canceling Six Administrative Licensing Items, Including Qualification Certification for Class B Water Conservancy Project Quality Inspection Units, in the Hainan Free Trade Port</w:t>
      </w:r>
    </w:p>
    <w:p w14:paraId="495F2908" w14:textId="77777777" w:rsidR="00DA5F6A" w:rsidRPr="00DA5F6A" w:rsidRDefault="00000000" w:rsidP="00DA5F6A">
      <w:pPr>
        <w:spacing w:line="360" w:lineRule="auto"/>
        <w:jc w:val="center"/>
        <w:rPr>
          <w:rFonts w:eastAsia="方正小标宋简体"/>
          <w:sz w:val="32"/>
          <w:szCs w:val="32"/>
        </w:rPr>
      </w:pPr>
      <w:r w:rsidRPr="00DA5F6A">
        <w:rPr>
          <w:rFonts w:eastAsia="方正小标宋简体"/>
          <w:sz w:val="32"/>
          <w:szCs w:val="32"/>
        </w:rPr>
        <w:t>（</w:t>
      </w:r>
      <w:r w:rsidRPr="00DA5F6A">
        <w:rPr>
          <w:rFonts w:eastAsia="方正小标宋简体"/>
          <w:sz w:val="32"/>
          <w:szCs w:val="32"/>
        </w:rPr>
        <w:t xml:space="preserve">2022 </w:t>
      </w:r>
      <w:r w:rsidRPr="00DA5F6A">
        <w:rPr>
          <w:rFonts w:eastAsia="方正小标宋简体"/>
          <w:sz w:val="32"/>
          <w:szCs w:val="32"/>
        </w:rPr>
        <w:t>年</w:t>
      </w:r>
      <w:r w:rsidRPr="00DA5F6A">
        <w:rPr>
          <w:rFonts w:eastAsia="方正小标宋简体"/>
          <w:sz w:val="32"/>
          <w:szCs w:val="32"/>
        </w:rPr>
        <w:t xml:space="preserve"> 11 </w:t>
      </w:r>
      <w:r w:rsidRPr="00DA5F6A">
        <w:rPr>
          <w:rFonts w:eastAsia="方正小标宋简体"/>
          <w:sz w:val="32"/>
          <w:szCs w:val="32"/>
        </w:rPr>
        <w:t>月</w:t>
      </w:r>
      <w:r w:rsidRPr="00DA5F6A">
        <w:rPr>
          <w:rFonts w:eastAsia="方正小标宋简体"/>
          <w:sz w:val="32"/>
          <w:szCs w:val="32"/>
        </w:rPr>
        <w:t xml:space="preserve"> 30 </w:t>
      </w:r>
      <w:r w:rsidRPr="00DA5F6A">
        <w:rPr>
          <w:rFonts w:eastAsia="方正小标宋简体"/>
          <w:sz w:val="32"/>
          <w:szCs w:val="32"/>
        </w:rPr>
        <w:t>日海南省第六届人民代表大会常务委员会第三十九次会议通过）</w:t>
      </w:r>
    </w:p>
    <w:p w14:paraId="11179B31" w14:textId="02A32F6D" w:rsidR="00936C35" w:rsidRPr="00DA5F6A" w:rsidRDefault="00000000" w:rsidP="00DA5F6A">
      <w:pPr>
        <w:spacing w:line="360" w:lineRule="auto"/>
        <w:jc w:val="center"/>
        <w:rPr>
          <w:rFonts w:ascii="方正小标宋简体" w:eastAsia="方正小标宋简体"/>
        </w:rPr>
      </w:pPr>
      <w:r w:rsidRPr="00DA5F6A">
        <w:rPr>
          <w:rFonts w:eastAsia="方正小标宋简体"/>
          <w:sz w:val="32"/>
          <w:szCs w:val="32"/>
        </w:rPr>
        <w:t>(Adopted at the 39th Session of the Standing Committee of the 6th Hainan Provincial People’s Congress on November 30, 2022)</w:t>
      </w:r>
    </w:p>
    <w:p w14:paraId="0DE898A4" w14:textId="77777777" w:rsidR="00936C35" w:rsidRDefault="00936C35" w:rsidP="00F979A7">
      <w:pPr>
        <w:pStyle w:val="a4"/>
        <w:spacing w:line="360" w:lineRule="auto"/>
        <w:rPr>
          <w:sz w:val="47"/>
        </w:rPr>
      </w:pPr>
    </w:p>
    <w:p w14:paraId="169112DE" w14:textId="77777777" w:rsidR="00936C35" w:rsidRPr="00691970" w:rsidRDefault="00000000" w:rsidP="001C09DE">
      <w:pPr>
        <w:pStyle w:val="a4"/>
        <w:spacing w:line="590" w:lineRule="exact"/>
        <w:ind w:left="108" w:right="110" w:firstLine="639"/>
        <w:jc w:val="both"/>
        <w:rPr>
          <w:rFonts w:eastAsia="仿宋_GB2312"/>
        </w:rPr>
      </w:pPr>
      <w:r w:rsidRPr="00691970">
        <w:rPr>
          <w:rFonts w:eastAsia="仿宋_GB2312"/>
          <w:spacing w:val="-6"/>
        </w:rPr>
        <w:t>根据《中华人民共和国海南自由贸易港法》有关规定，结合</w:t>
      </w:r>
      <w:r w:rsidRPr="00691970">
        <w:rPr>
          <w:rFonts w:eastAsia="仿宋_GB2312"/>
          <w:spacing w:val="-12"/>
        </w:rPr>
        <w:t>海南自由贸易港建设实际，省政府商有关部委决定在水利工程质</w:t>
      </w:r>
      <w:r w:rsidRPr="00691970">
        <w:rPr>
          <w:rFonts w:eastAsia="仿宋_GB2312"/>
          <w:spacing w:val="-9"/>
        </w:rPr>
        <w:t>量检测等领域实施市场准入承诺即入制。为推动市场准入承诺</w:t>
      </w:r>
      <w:proofErr w:type="gramStart"/>
      <w:r w:rsidRPr="00691970">
        <w:rPr>
          <w:rFonts w:eastAsia="仿宋_GB2312"/>
          <w:spacing w:val="-9"/>
        </w:rPr>
        <w:t>即</w:t>
      </w:r>
      <w:r w:rsidRPr="00691970">
        <w:rPr>
          <w:rFonts w:eastAsia="仿宋_GB2312"/>
          <w:spacing w:val="-14"/>
        </w:rPr>
        <w:t>入制改革</w:t>
      </w:r>
      <w:proofErr w:type="gramEnd"/>
      <w:r w:rsidRPr="00691970">
        <w:rPr>
          <w:rFonts w:eastAsia="仿宋_GB2312"/>
          <w:spacing w:val="-14"/>
        </w:rPr>
        <w:t>，省人大常委会决定取消乙级水利工程质量检测单位资</w:t>
      </w:r>
      <w:r w:rsidRPr="00691970">
        <w:rPr>
          <w:rFonts w:eastAsia="仿宋_GB2312"/>
          <w:spacing w:val="-6"/>
        </w:rPr>
        <w:t>质认定、经营高危险性体育项目（游泳、攀岩、滑雪）许可、重</w:t>
      </w:r>
      <w:r w:rsidRPr="00691970">
        <w:rPr>
          <w:rFonts w:eastAsia="仿宋_GB2312"/>
          <w:spacing w:val="-2"/>
        </w:rPr>
        <w:t>要工业产品〔压力锅（不锈钢压力锅、铝压力锅</w:t>
      </w:r>
      <w:r w:rsidRPr="00691970">
        <w:rPr>
          <w:rFonts w:eastAsia="仿宋_GB2312"/>
          <w:spacing w:val="-158"/>
        </w:rPr>
        <w:t>）</w:t>
      </w:r>
      <w:r w:rsidRPr="00691970">
        <w:rPr>
          <w:rFonts w:eastAsia="仿宋_GB2312"/>
          <w:spacing w:val="-2"/>
        </w:rPr>
        <w:t>〕生产许可证</w:t>
      </w:r>
      <w:r w:rsidRPr="00691970">
        <w:rPr>
          <w:rFonts w:eastAsia="仿宋_GB2312"/>
          <w:spacing w:val="-6"/>
        </w:rPr>
        <w:t>核发、食用菌菌种（黑木耳菌种栽培种、香菇菌种栽培种、双</w:t>
      </w:r>
      <w:proofErr w:type="gramStart"/>
      <w:r w:rsidRPr="00691970">
        <w:rPr>
          <w:rFonts w:eastAsia="仿宋_GB2312"/>
          <w:spacing w:val="-6"/>
        </w:rPr>
        <w:t>孢</w:t>
      </w:r>
      <w:proofErr w:type="gramEnd"/>
      <w:r w:rsidRPr="00691970">
        <w:rPr>
          <w:rFonts w:eastAsia="仿宋_GB2312"/>
          <w:spacing w:val="-6"/>
        </w:rPr>
        <w:lastRenderedPageBreak/>
        <w:t>蘑菇菌种栽培种、平菇菌种栽培种）</w:t>
      </w:r>
      <w:r w:rsidRPr="00691970">
        <w:rPr>
          <w:rFonts w:eastAsia="仿宋_GB2312"/>
          <w:spacing w:val="-7"/>
        </w:rPr>
        <w:t>生产经营许可证核发、蚕种</w:t>
      </w:r>
    </w:p>
    <w:p w14:paraId="5E83C1D9" w14:textId="37A15A9E" w:rsidR="00936C35" w:rsidRPr="00691970" w:rsidRDefault="00000000" w:rsidP="001C09DE">
      <w:pPr>
        <w:pStyle w:val="a4"/>
        <w:spacing w:line="590" w:lineRule="exact"/>
        <w:ind w:left="134" w:right="136"/>
        <w:jc w:val="both"/>
        <w:rPr>
          <w:rFonts w:eastAsia="仿宋_GB2312"/>
        </w:rPr>
      </w:pPr>
      <w:r w:rsidRPr="00691970">
        <w:rPr>
          <w:rFonts w:eastAsia="仿宋_GB2312"/>
          <w:spacing w:val="-2"/>
        </w:rPr>
        <w:t>（桑蚕原种</w:t>
      </w:r>
      <w:r w:rsidRPr="00691970">
        <w:rPr>
          <w:rFonts w:eastAsia="仿宋_GB2312"/>
          <w:spacing w:val="-58"/>
        </w:rPr>
        <w:t>）</w:t>
      </w:r>
      <w:r w:rsidRPr="00691970">
        <w:rPr>
          <w:rFonts w:eastAsia="仿宋_GB2312"/>
          <w:spacing w:val="-6"/>
        </w:rPr>
        <w:t>生产经营许可证核发和升放无人驾驶自由气球、系</w:t>
      </w:r>
      <w:r w:rsidRPr="00691970">
        <w:rPr>
          <w:rFonts w:eastAsia="仿宋_GB2312"/>
          <w:spacing w:val="-9"/>
        </w:rPr>
        <w:t>留气球单位资质认定等六项行政许可事项，在海南自由贸易港内</w:t>
      </w:r>
      <w:r w:rsidRPr="00691970">
        <w:rPr>
          <w:rFonts w:eastAsia="仿宋_GB2312"/>
          <w:spacing w:val="-4"/>
        </w:rPr>
        <w:t>实施。</w:t>
      </w:r>
    </w:p>
    <w:p w14:paraId="7A2C1D7C" w14:textId="69B9DAEF" w:rsidR="00936C35" w:rsidRPr="00691970" w:rsidRDefault="00000000" w:rsidP="001C09DE">
      <w:pPr>
        <w:pStyle w:val="a4"/>
        <w:spacing w:line="590" w:lineRule="exact"/>
        <w:ind w:left="108" w:right="111" w:firstLine="639"/>
        <w:jc w:val="both"/>
        <w:rPr>
          <w:rFonts w:eastAsia="仿宋_GB2312"/>
          <w:sz w:val="19"/>
        </w:rPr>
      </w:pPr>
      <w:r w:rsidRPr="00691970">
        <w:rPr>
          <w:rFonts w:eastAsia="仿宋_GB2312"/>
        </w:rPr>
        <w:t xml:space="preserve">The Provincial People’s Government, in consultation with relevant ministries and commissions, decides to implement a “market access upon commitment” system in areas such as water conservancy project quality inspection, pursuant to the relevant provisions of the </w:t>
      </w:r>
      <w:r w:rsidRPr="00691970">
        <w:rPr>
          <w:rFonts w:eastAsia="仿宋_GB2312"/>
          <w:i/>
        </w:rPr>
        <w:t xml:space="preserve">Law of the People’s Republic of China on the Hainan Free Trade Port, </w:t>
      </w:r>
      <w:r w:rsidRPr="00691970">
        <w:rPr>
          <w:rFonts w:eastAsia="仿宋_GB2312"/>
        </w:rPr>
        <w:t xml:space="preserve">and </w:t>
      </w:r>
      <w:proofErr w:type="gramStart"/>
      <w:r w:rsidRPr="00691970">
        <w:rPr>
          <w:rFonts w:eastAsia="仿宋_GB2312"/>
        </w:rPr>
        <w:t>in light of</w:t>
      </w:r>
      <w:proofErr w:type="gramEnd"/>
      <w:r w:rsidRPr="00691970">
        <w:rPr>
          <w:rFonts w:eastAsia="仿宋_GB2312"/>
        </w:rPr>
        <w:t xml:space="preserve"> the actual development circumstances of the Hainan Free Trade Port. To promote the</w:t>
      </w:r>
      <w:r w:rsidRPr="00691970">
        <w:rPr>
          <w:rFonts w:eastAsia="仿宋_GB2312"/>
          <w:spacing w:val="-1"/>
        </w:rPr>
        <w:t xml:space="preserve"> </w:t>
      </w:r>
      <w:r w:rsidRPr="00691970">
        <w:rPr>
          <w:rFonts w:eastAsia="仿宋_GB2312"/>
        </w:rPr>
        <w:t>reform of the “market access upon commitment” system, the Standing Committee of the Hainan Provincial People’s Congress hereby decides to cancel the following six administrative licensing items within the Hainan Free Trade Port: (1) Qualification certification for Class B water conservancy project quality inspection units; (2) Licensing for operating high-risk sports (swimming, rock climbing and skiing); (3) Issuance of production licenses for important industrial products [pressure cookers (stainless steel and aluminum pressure</w:t>
      </w:r>
      <w:r w:rsidRPr="00691970">
        <w:rPr>
          <w:rFonts w:eastAsia="仿宋_GB2312"/>
          <w:spacing w:val="-2"/>
        </w:rPr>
        <w:t xml:space="preserve"> </w:t>
      </w:r>
      <w:r w:rsidRPr="00691970">
        <w:rPr>
          <w:rFonts w:eastAsia="仿宋_GB2312"/>
        </w:rPr>
        <w:t>cookers)]; (4) Issuance</w:t>
      </w:r>
      <w:r w:rsidRPr="00691970">
        <w:rPr>
          <w:rFonts w:eastAsia="仿宋_GB2312"/>
          <w:spacing w:val="-1"/>
        </w:rPr>
        <w:t xml:space="preserve"> </w:t>
      </w:r>
      <w:r w:rsidRPr="00691970">
        <w:rPr>
          <w:rFonts w:eastAsia="仿宋_GB2312"/>
        </w:rPr>
        <w:t>of</w:t>
      </w:r>
      <w:r w:rsidRPr="00691970">
        <w:rPr>
          <w:rFonts w:eastAsia="仿宋_GB2312"/>
          <w:spacing w:val="-1"/>
        </w:rPr>
        <w:t xml:space="preserve"> </w:t>
      </w:r>
      <w:r w:rsidRPr="00691970">
        <w:rPr>
          <w:rFonts w:eastAsia="仿宋_GB2312"/>
        </w:rPr>
        <w:t>production</w:t>
      </w:r>
      <w:r w:rsidRPr="00691970">
        <w:rPr>
          <w:rFonts w:eastAsia="仿宋_GB2312"/>
          <w:spacing w:val="-1"/>
        </w:rPr>
        <w:t xml:space="preserve"> </w:t>
      </w:r>
      <w:r w:rsidRPr="00691970">
        <w:rPr>
          <w:rFonts w:eastAsia="仿宋_GB2312"/>
        </w:rPr>
        <w:t>and operation licenses for</w:t>
      </w:r>
      <w:r w:rsidRPr="00691970">
        <w:rPr>
          <w:rFonts w:eastAsia="仿宋_GB2312"/>
          <w:spacing w:val="80"/>
        </w:rPr>
        <w:t xml:space="preserve"> </w:t>
      </w:r>
      <w:r w:rsidRPr="00691970">
        <w:rPr>
          <w:rFonts w:eastAsia="仿宋_GB2312"/>
        </w:rPr>
        <w:t>edible</w:t>
      </w:r>
      <w:r w:rsidRPr="00691970">
        <w:rPr>
          <w:rFonts w:eastAsia="仿宋_GB2312"/>
          <w:spacing w:val="80"/>
        </w:rPr>
        <w:t xml:space="preserve"> </w:t>
      </w:r>
      <w:r w:rsidRPr="00691970">
        <w:rPr>
          <w:rFonts w:eastAsia="仿宋_GB2312"/>
        </w:rPr>
        <w:t>fungi</w:t>
      </w:r>
      <w:r w:rsidRPr="00691970">
        <w:rPr>
          <w:rFonts w:eastAsia="仿宋_GB2312"/>
          <w:spacing w:val="80"/>
        </w:rPr>
        <w:t xml:space="preserve"> </w:t>
      </w:r>
      <w:r w:rsidRPr="00691970">
        <w:rPr>
          <w:rFonts w:eastAsia="仿宋_GB2312"/>
        </w:rPr>
        <w:t>strains</w:t>
      </w:r>
      <w:r w:rsidRPr="00691970">
        <w:rPr>
          <w:rFonts w:eastAsia="仿宋_GB2312"/>
          <w:spacing w:val="80"/>
        </w:rPr>
        <w:t xml:space="preserve"> </w:t>
      </w:r>
      <w:r w:rsidRPr="00691970">
        <w:rPr>
          <w:rFonts w:eastAsia="仿宋_GB2312"/>
        </w:rPr>
        <w:t>(cultivation</w:t>
      </w:r>
      <w:r w:rsidRPr="00691970">
        <w:rPr>
          <w:rFonts w:eastAsia="仿宋_GB2312"/>
          <w:spacing w:val="80"/>
        </w:rPr>
        <w:t xml:space="preserve"> </w:t>
      </w:r>
      <w:r w:rsidRPr="00691970">
        <w:rPr>
          <w:rFonts w:eastAsia="仿宋_GB2312"/>
        </w:rPr>
        <w:t>strains</w:t>
      </w:r>
      <w:r w:rsidRPr="00691970">
        <w:rPr>
          <w:rFonts w:eastAsia="仿宋_GB2312"/>
          <w:spacing w:val="80"/>
        </w:rPr>
        <w:t xml:space="preserve"> </w:t>
      </w:r>
      <w:r w:rsidRPr="00691970">
        <w:rPr>
          <w:rFonts w:eastAsia="仿宋_GB2312"/>
        </w:rPr>
        <w:t>of</w:t>
      </w:r>
      <w:r w:rsidRPr="00691970">
        <w:rPr>
          <w:rFonts w:eastAsia="仿宋_GB2312"/>
          <w:spacing w:val="80"/>
        </w:rPr>
        <w:t xml:space="preserve"> </w:t>
      </w:r>
      <w:r w:rsidRPr="00691970">
        <w:rPr>
          <w:rFonts w:eastAsia="仿宋_GB2312"/>
          <w:i/>
          <w:iCs/>
        </w:rPr>
        <w:t>Auricularia auricula-</w:t>
      </w:r>
      <w:proofErr w:type="spellStart"/>
      <w:r w:rsidRPr="00691970">
        <w:rPr>
          <w:rFonts w:eastAsia="仿宋_GB2312"/>
          <w:i/>
          <w:iCs/>
        </w:rPr>
        <w:t>judae</w:t>
      </w:r>
      <w:proofErr w:type="spellEnd"/>
      <w:r w:rsidRPr="00691970">
        <w:rPr>
          <w:rFonts w:eastAsia="仿宋_GB2312"/>
        </w:rPr>
        <w:t xml:space="preserve">, </w:t>
      </w:r>
      <w:r w:rsidRPr="00691970">
        <w:rPr>
          <w:rFonts w:eastAsia="仿宋_GB2312"/>
          <w:i/>
          <w:iCs/>
        </w:rPr>
        <w:t>Lentinula edodes</w:t>
      </w:r>
      <w:r w:rsidRPr="00691970">
        <w:rPr>
          <w:rFonts w:eastAsia="仿宋_GB2312"/>
        </w:rPr>
        <w:t xml:space="preserve">, </w:t>
      </w:r>
      <w:r w:rsidRPr="00691970">
        <w:rPr>
          <w:rFonts w:eastAsia="仿宋_GB2312"/>
          <w:i/>
          <w:iCs/>
        </w:rPr>
        <w:t>Agaricus bisporus</w:t>
      </w:r>
      <w:r w:rsidRPr="00691970">
        <w:rPr>
          <w:rFonts w:eastAsia="仿宋_GB2312"/>
        </w:rPr>
        <w:t xml:space="preserve">, and </w:t>
      </w:r>
      <w:r w:rsidRPr="00691970">
        <w:rPr>
          <w:rFonts w:eastAsia="仿宋_GB2312"/>
          <w:i/>
          <w:iCs/>
        </w:rPr>
        <w:t xml:space="preserve">Pleurotus </w:t>
      </w:r>
      <w:r w:rsidRPr="00691970">
        <w:rPr>
          <w:rFonts w:eastAsia="仿宋_GB2312"/>
          <w:i/>
          <w:iCs/>
        </w:rPr>
        <w:lastRenderedPageBreak/>
        <w:t>ostreatus</w:t>
      </w:r>
      <w:r w:rsidRPr="00691970">
        <w:rPr>
          <w:rFonts w:eastAsia="仿宋_GB2312"/>
        </w:rPr>
        <w:t>); (5) Issuance of production and operation licenses for silkworm</w:t>
      </w:r>
      <w:r w:rsidRPr="00691970">
        <w:rPr>
          <w:rFonts w:eastAsia="仿宋_GB2312"/>
          <w:spacing w:val="22"/>
        </w:rPr>
        <w:t xml:space="preserve"> </w:t>
      </w:r>
      <w:r w:rsidRPr="00691970">
        <w:rPr>
          <w:rFonts w:eastAsia="仿宋_GB2312"/>
        </w:rPr>
        <w:t>eggs</w:t>
      </w:r>
      <w:r w:rsidRPr="00691970">
        <w:rPr>
          <w:rFonts w:eastAsia="仿宋_GB2312"/>
          <w:spacing w:val="21"/>
        </w:rPr>
        <w:t xml:space="preserve"> </w:t>
      </w:r>
      <w:r w:rsidRPr="00691970">
        <w:rPr>
          <w:rFonts w:eastAsia="仿宋_GB2312"/>
        </w:rPr>
        <w:t>(</w:t>
      </w:r>
      <w:r w:rsidRPr="00691970">
        <w:rPr>
          <w:rFonts w:eastAsia="仿宋_GB2312"/>
          <w:i/>
          <w:iCs/>
        </w:rPr>
        <w:t>Bombyx</w:t>
      </w:r>
      <w:r w:rsidRPr="00691970">
        <w:rPr>
          <w:rFonts w:eastAsia="仿宋_GB2312"/>
          <w:i/>
          <w:iCs/>
          <w:spacing w:val="21"/>
        </w:rPr>
        <w:t xml:space="preserve"> </w:t>
      </w:r>
      <w:r w:rsidRPr="00691970">
        <w:rPr>
          <w:rFonts w:eastAsia="仿宋_GB2312"/>
          <w:i/>
          <w:iCs/>
        </w:rPr>
        <w:t>mori</w:t>
      </w:r>
      <w:r w:rsidRPr="00691970">
        <w:rPr>
          <w:rFonts w:eastAsia="仿宋_GB2312"/>
          <w:spacing w:val="20"/>
        </w:rPr>
        <w:t xml:space="preserve"> </w:t>
      </w:r>
      <w:r w:rsidRPr="00691970">
        <w:rPr>
          <w:rFonts w:eastAsia="仿宋_GB2312"/>
        </w:rPr>
        <w:t>original</w:t>
      </w:r>
      <w:r w:rsidRPr="00691970">
        <w:rPr>
          <w:rFonts w:eastAsia="仿宋_GB2312"/>
          <w:spacing w:val="22"/>
        </w:rPr>
        <w:t xml:space="preserve"> </w:t>
      </w:r>
      <w:r w:rsidRPr="00691970">
        <w:rPr>
          <w:rFonts w:eastAsia="仿宋_GB2312"/>
        </w:rPr>
        <w:t>seeds);</w:t>
      </w:r>
      <w:r w:rsidRPr="00691970">
        <w:rPr>
          <w:rFonts w:eastAsia="仿宋_GB2312"/>
          <w:spacing w:val="21"/>
        </w:rPr>
        <w:t xml:space="preserve"> </w:t>
      </w:r>
      <w:r w:rsidRPr="00691970">
        <w:rPr>
          <w:rFonts w:eastAsia="仿宋_GB2312"/>
        </w:rPr>
        <w:t>and</w:t>
      </w:r>
      <w:r w:rsidRPr="00691970">
        <w:rPr>
          <w:rFonts w:eastAsia="仿宋_GB2312"/>
          <w:spacing w:val="22"/>
        </w:rPr>
        <w:t xml:space="preserve"> </w:t>
      </w:r>
      <w:r w:rsidRPr="00691970">
        <w:rPr>
          <w:rFonts w:eastAsia="仿宋_GB2312"/>
        </w:rPr>
        <w:t>(6)</w:t>
      </w:r>
      <w:r w:rsidRPr="00691970">
        <w:rPr>
          <w:rFonts w:eastAsia="仿宋_GB2312"/>
          <w:spacing w:val="22"/>
        </w:rPr>
        <w:t xml:space="preserve"> </w:t>
      </w:r>
      <w:r w:rsidRPr="00691970">
        <w:rPr>
          <w:rFonts w:eastAsia="仿宋_GB2312"/>
          <w:spacing w:val="-2"/>
        </w:rPr>
        <w:t>Qualification</w:t>
      </w:r>
      <w:r w:rsidR="00691970">
        <w:rPr>
          <w:rFonts w:eastAsia="仿宋_GB2312" w:hint="eastAsia"/>
          <w:spacing w:val="-2"/>
        </w:rPr>
        <w:t xml:space="preserve"> </w:t>
      </w:r>
    </w:p>
    <w:p w14:paraId="306CD12F" w14:textId="77777777" w:rsidR="00936C35" w:rsidRPr="00691970" w:rsidRDefault="00000000" w:rsidP="001C09DE">
      <w:pPr>
        <w:pStyle w:val="a4"/>
        <w:spacing w:line="590" w:lineRule="exact"/>
        <w:ind w:left="108" w:right="114"/>
        <w:jc w:val="both"/>
        <w:rPr>
          <w:rFonts w:eastAsia="仿宋_GB2312"/>
        </w:rPr>
      </w:pPr>
      <w:r w:rsidRPr="00691970">
        <w:rPr>
          <w:rFonts w:eastAsia="仿宋_GB2312"/>
        </w:rPr>
        <w:t>certification for units launching and releasing unmanned free balloons and tethered balloons.</w:t>
      </w:r>
    </w:p>
    <w:p w14:paraId="366AF58D" w14:textId="77777777" w:rsidR="00936C35" w:rsidRPr="00691970" w:rsidRDefault="00000000" w:rsidP="001C09DE">
      <w:pPr>
        <w:pStyle w:val="a4"/>
        <w:spacing w:line="590" w:lineRule="exact"/>
        <w:ind w:left="747"/>
        <w:rPr>
          <w:rFonts w:eastAsia="仿宋_GB2312"/>
        </w:rPr>
      </w:pPr>
      <w:r w:rsidRPr="00691970">
        <w:rPr>
          <w:rFonts w:eastAsia="仿宋_GB2312"/>
          <w:spacing w:val="-1"/>
        </w:rPr>
        <w:t>县级以上人民政府有关主管部门应当按照省政府有关市场</w:t>
      </w:r>
    </w:p>
    <w:p w14:paraId="7EDDEDB2" w14:textId="77777777" w:rsidR="00936C35" w:rsidRPr="00691970" w:rsidRDefault="00000000" w:rsidP="001C09DE">
      <w:pPr>
        <w:pStyle w:val="a4"/>
        <w:spacing w:line="590" w:lineRule="exact"/>
        <w:ind w:left="108" w:right="110"/>
        <w:jc w:val="both"/>
        <w:rPr>
          <w:rFonts w:eastAsia="仿宋_GB2312"/>
          <w:spacing w:val="-2"/>
        </w:rPr>
      </w:pPr>
      <w:r w:rsidRPr="00691970">
        <w:rPr>
          <w:rFonts w:eastAsia="仿宋_GB2312"/>
          <w:spacing w:val="-2"/>
        </w:rPr>
        <w:t>准入承诺</w:t>
      </w:r>
      <w:proofErr w:type="gramStart"/>
      <w:r w:rsidRPr="00691970">
        <w:rPr>
          <w:rFonts w:eastAsia="仿宋_GB2312"/>
          <w:spacing w:val="-2"/>
        </w:rPr>
        <w:t>即入制的</w:t>
      </w:r>
      <w:proofErr w:type="gramEnd"/>
      <w:r w:rsidRPr="00691970">
        <w:rPr>
          <w:rFonts w:eastAsia="仿宋_GB2312"/>
          <w:spacing w:val="-2"/>
        </w:rPr>
        <w:t>规定，加强和创新事中事后监管，确保放得</w:t>
      </w:r>
      <w:r w:rsidRPr="00691970">
        <w:rPr>
          <w:rFonts w:eastAsia="仿宋_GB2312"/>
          <w:spacing w:val="-6"/>
        </w:rPr>
        <w:t>开、管得住。对适用市场准入承诺</w:t>
      </w:r>
      <w:proofErr w:type="gramStart"/>
      <w:r w:rsidRPr="00691970">
        <w:rPr>
          <w:rFonts w:eastAsia="仿宋_GB2312"/>
          <w:spacing w:val="-6"/>
        </w:rPr>
        <w:t>即入制的</w:t>
      </w:r>
      <w:proofErr w:type="gramEnd"/>
      <w:r w:rsidRPr="00691970">
        <w:rPr>
          <w:rFonts w:eastAsia="仿宋_GB2312"/>
          <w:spacing w:val="-6"/>
        </w:rPr>
        <w:t>市场主体，加强信用</w:t>
      </w:r>
      <w:r w:rsidRPr="00691970">
        <w:rPr>
          <w:rFonts w:eastAsia="仿宋_GB2312"/>
          <w:spacing w:val="-13"/>
        </w:rPr>
        <w:t>监管，依法对其严重违法失信行为予以失信惩戒。省人民政府有</w:t>
      </w:r>
      <w:r w:rsidRPr="00691970">
        <w:rPr>
          <w:rFonts w:eastAsia="仿宋_GB2312"/>
          <w:spacing w:val="-8"/>
        </w:rPr>
        <w:t>关主管部门应当分领域制定事中事后监管规则，适时对实行市场</w:t>
      </w:r>
      <w:r w:rsidRPr="00691970">
        <w:rPr>
          <w:rFonts w:eastAsia="仿宋_GB2312"/>
          <w:spacing w:val="-9"/>
        </w:rPr>
        <w:t>准入承诺</w:t>
      </w:r>
      <w:proofErr w:type="gramStart"/>
      <w:r w:rsidRPr="00691970">
        <w:rPr>
          <w:rFonts w:eastAsia="仿宋_GB2312"/>
          <w:spacing w:val="-9"/>
        </w:rPr>
        <w:t>即入制的</w:t>
      </w:r>
      <w:proofErr w:type="gramEnd"/>
      <w:r w:rsidRPr="00691970">
        <w:rPr>
          <w:rFonts w:eastAsia="仿宋_GB2312"/>
          <w:spacing w:val="-9"/>
        </w:rPr>
        <w:t>事项进行评估，对实践证明可行的，继续加强</w:t>
      </w:r>
      <w:r w:rsidRPr="00691970">
        <w:rPr>
          <w:rFonts w:eastAsia="仿宋_GB2312"/>
          <w:spacing w:val="-13"/>
        </w:rPr>
        <w:t>事中事后监管；经评估施行效果不好的，及时按照法定程序恢复</w:t>
      </w:r>
      <w:r w:rsidRPr="00691970">
        <w:rPr>
          <w:rFonts w:eastAsia="仿宋_GB2312"/>
          <w:spacing w:val="-2"/>
        </w:rPr>
        <w:t>实施有关行政许可事项。</w:t>
      </w:r>
    </w:p>
    <w:p w14:paraId="76E9F2B9" w14:textId="155E26E1" w:rsidR="00936C35" w:rsidRPr="00691970" w:rsidRDefault="00000000" w:rsidP="001C09DE">
      <w:pPr>
        <w:pStyle w:val="a4"/>
        <w:spacing w:line="590" w:lineRule="exact"/>
        <w:ind w:left="108" w:right="110" w:firstLineChars="200" w:firstLine="640"/>
        <w:jc w:val="both"/>
        <w:rPr>
          <w:rFonts w:eastAsia="仿宋_GB2312"/>
        </w:rPr>
      </w:pPr>
      <w:r w:rsidRPr="00691970">
        <w:rPr>
          <w:rFonts w:eastAsia="仿宋_GB2312"/>
        </w:rPr>
        <w:t>Relevant competent departments of people’s governments at or above the county level shall strengthen and innovate ongoing and post-event supervision in accordance with the regulations on the “market access upon commitment” system issued by the</w:t>
      </w:r>
      <w:r w:rsidRPr="00691970">
        <w:rPr>
          <w:rFonts w:eastAsia="仿宋_GB2312" w:hint="eastAsia"/>
        </w:rPr>
        <w:t xml:space="preserve"> r</w:t>
      </w:r>
      <w:r w:rsidRPr="00691970">
        <w:rPr>
          <w:rFonts w:eastAsia="仿宋_GB2312"/>
        </w:rPr>
        <w:t xml:space="preserve">elevant competent departments </w:t>
      </w:r>
      <w:r w:rsidRPr="00691970">
        <w:rPr>
          <w:rFonts w:eastAsia="仿宋_GB2312" w:hint="eastAsia"/>
        </w:rPr>
        <w:t>of the</w:t>
      </w:r>
      <w:r w:rsidRPr="00691970">
        <w:rPr>
          <w:rFonts w:eastAsia="仿宋_GB2312"/>
        </w:rPr>
        <w:t xml:space="preserve"> Provincial People’s Government, ensuring effective oversight while streamlining market entry. Credit supervision shall be strengthened for market entities subject to the “market access upon commitment” system, and penalties for breach of honesty shall be imposed for major illegal dishonesty. Relevant competent departments of the Provincial</w:t>
      </w:r>
      <w:r w:rsidRPr="00691970">
        <w:rPr>
          <w:rFonts w:eastAsia="仿宋_GB2312"/>
          <w:spacing w:val="40"/>
        </w:rPr>
        <w:t xml:space="preserve"> </w:t>
      </w:r>
      <w:r w:rsidRPr="00691970">
        <w:rPr>
          <w:rFonts w:eastAsia="仿宋_GB2312"/>
        </w:rPr>
        <w:t>People’s</w:t>
      </w:r>
      <w:r w:rsidRPr="00691970">
        <w:rPr>
          <w:rFonts w:eastAsia="仿宋_GB2312"/>
          <w:spacing w:val="40"/>
        </w:rPr>
        <w:t xml:space="preserve"> </w:t>
      </w:r>
      <w:r w:rsidRPr="00691970">
        <w:rPr>
          <w:rFonts w:eastAsia="仿宋_GB2312"/>
        </w:rPr>
        <w:t>Government</w:t>
      </w:r>
      <w:r w:rsidRPr="00691970">
        <w:rPr>
          <w:rFonts w:eastAsia="仿宋_GB2312"/>
          <w:spacing w:val="40"/>
        </w:rPr>
        <w:t xml:space="preserve"> </w:t>
      </w:r>
      <w:r w:rsidRPr="00691970">
        <w:rPr>
          <w:rFonts w:eastAsia="仿宋_GB2312"/>
        </w:rPr>
        <w:lastRenderedPageBreak/>
        <w:t>shall</w:t>
      </w:r>
      <w:r w:rsidRPr="00691970">
        <w:rPr>
          <w:rFonts w:eastAsia="仿宋_GB2312"/>
          <w:spacing w:val="40"/>
        </w:rPr>
        <w:t xml:space="preserve"> </w:t>
      </w:r>
      <w:r w:rsidRPr="00691970">
        <w:rPr>
          <w:rFonts w:eastAsia="仿宋_GB2312"/>
        </w:rPr>
        <w:t>formulate</w:t>
      </w:r>
      <w:r w:rsidRPr="00691970">
        <w:rPr>
          <w:rFonts w:eastAsia="仿宋_GB2312"/>
          <w:spacing w:val="40"/>
        </w:rPr>
        <w:t xml:space="preserve"> </w:t>
      </w:r>
      <w:r w:rsidRPr="00691970">
        <w:rPr>
          <w:rFonts w:eastAsia="仿宋_GB2312"/>
        </w:rPr>
        <w:t>ongoing</w:t>
      </w:r>
      <w:r w:rsidRPr="00691970">
        <w:rPr>
          <w:rFonts w:eastAsia="仿宋_GB2312"/>
          <w:spacing w:val="40"/>
        </w:rPr>
        <w:t xml:space="preserve"> </w:t>
      </w:r>
      <w:r w:rsidRPr="00691970">
        <w:rPr>
          <w:rFonts w:eastAsia="仿宋_GB2312"/>
        </w:rPr>
        <w:t>and</w:t>
      </w:r>
      <w:r w:rsidRPr="00691970">
        <w:rPr>
          <w:rFonts w:eastAsia="仿宋_GB2312"/>
          <w:spacing w:val="80"/>
        </w:rPr>
        <w:t xml:space="preserve"> </w:t>
      </w:r>
      <w:r w:rsidRPr="00691970">
        <w:rPr>
          <w:rFonts w:eastAsia="仿宋_GB2312"/>
        </w:rPr>
        <w:t>post-event supervision rules for different sectors and conduct timely evaluations</w:t>
      </w:r>
      <w:r w:rsidRPr="00691970">
        <w:rPr>
          <w:rFonts w:eastAsia="仿宋_GB2312"/>
          <w:spacing w:val="71"/>
          <w:w w:val="150"/>
        </w:rPr>
        <w:t xml:space="preserve"> </w:t>
      </w:r>
      <w:r w:rsidRPr="00691970">
        <w:rPr>
          <w:rFonts w:eastAsia="仿宋_GB2312"/>
        </w:rPr>
        <w:t>of</w:t>
      </w:r>
      <w:r w:rsidRPr="00691970">
        <w:rPr>
          <w:rFonts w:eastAsia="仿宋_GB2312"/>
          <w:spacing w:val="75"/>
          <w:w w:val="150"/>
        </w:rPr>
        <w:t xml:space="preserve"> </w:t>
      </w:r>
      <w:r w:rsidRPr="00691970">
        <w:rPr>
          <w:rFonts w:eastAsia="仿宋_GB2312"/>
        </w:rPr>
        <w:t>the</w:t>
      </w:r>
      <w:r w:rsidRPr="00691970">
        <w:rPr>
          <w:rFonts w:eastAsia="仿宋_GB2312"/>
          <w:spacing w:val="75"/>
          <w:w w:val="150"/>
        </w:rPr>
        <w:t xml:space="preserve"> </w:t>
      </w:r>
      <w:r w:rsidRPr="00691970">
        <w:rPr>
          <w:rFonts w:eastAsia="仿宋_GB2312"/>
        </w:rPr>
        <w:t>implementation of the “market access upo</w:t>
      </w:r>
      <w:r w:rsidRPr="00691970">
        <w:rPr>
          <w:rFonts w:eastAsia="仿宋_GB2312" w:hint="eastAsia"/>
        </w:rPr>
        <w:t>n</w:t>
      </w:r>
      <w:r w:rsidR="00691970">
        <w:rPr>
          <w:rFonts w:eastAsia="仿宋_GB2312" w:hint="eastAsia"/>
        </w:rPr>
        <w:t xml:space="preserve"> </w:t>
      </w:r>
      <w:r w:rsidRPr="00691970">
        <w:rPr>
          <w:rFonts w:eastAsia="仿宋_GB2312"/>
        </w:rPr>
        <w:t>commitment” system. For items proven feasible in practice, ongoing and post-event supervision shall be further strengthened. For items with unsatisfactory implementation results based on evaluation, the relevant administrative licensing items shall be promptly reinstated in accordance with established legal procedures.</w:t>
      </w:r>
    </w:p>
    <w:p w14:paraId="41EA8DFF" w14:textId="77777777" w:rsidR="00936C35" w:rsidRPr="00691970" w:rsidRDefault="00000000" w:rsidP="001C09DE">
      <w:pPr>
        <w:pStyle w:val="a4"/>
        <w:spacing w:line="590" w:lineRule="exact"/>
        <w:ind w:left="108" w:right="110" w:firstLineChars="200" w:firstLine="614"/>
        <w:jc w:val="both"/>
        <w:rPr>
          <w:rFonts w:eastAsia="仿宋_GB2312"/>
          <w:spacing w:val="-13"/>
        </w:rPr>
      </w:pPr>
      <w:r w:rsidRPr="00691970">
        <w:rPr>
          <w:rFonts w:eastAsia="仿宋_GB2312"/>
          <w:spacing w:val="-13"/>
        </w:rPr>
        <w:t>本决定自公布之日起施行。</w:t>
      </w:r>
    </w:p>
    <w:p w14:paraId="6F3E58C9" w14:textId="77777777" w:rsidR="00936C35" w:rsidRDefault="00000000" w:rsidP="001C09DE">
      <w:pPr>
        <w:pStyle w:val="a4"/>
        <w:spacing w:line="590" w:lineRule="exact"/>
        <w:ind w:right="110" w:firstLineChars="200" w:firstLine="640"/>
        <w:jc w:val="both"/>
      </w:pPr>
      <w:r w:rsidRPr="00691970">
        <w:rPr>
          <w:rFonts w:eastAsia="仿宋_GB2312"/>
        </w:rPr>
        <w:t>This Decision shall take effect on the date of its promulgation.</w:t>
      </w:r>
    </w:p>
    <w:sectPr w:rsidR="00936C35">
      <w:footerReference w:type="even" r:id="rId7"/>
      <w:footerReference w:type="default" r:id="rId8"/>
      <w:pgSz w:w="11910" w:h="16840"/>
      <w:pgMar w:top="1920" w:right="1360" w:bottom="1620" w:left="1480" w:header="0" w:footer="1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E420" w14:textId="77777777" w:rsidR="00932CDE" w:rsidRDefault="00932CDE">
      <w:r>
        <w:separator/>
      </w:r>
    </w:p>
  </w:endnote>
  <w:endnote w:type="continuationSeparator" w:id="0">
    <w:p w14:paraId="32730185" w14:textId="77777777" w:rsidR="00932CDE" w:rsidRDefault="0093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16F1" w14:textId="77777777" w:rsidR="00936C35" w:rsidRDefault="00000000">
    <w:pPr>
      <w:pStyle w:val="a4"/>
      <w:spacing w:line="14" w:lineRule="auto"/>
      <w:rPr>
        <w:sz w:val="20"/>
      </w:rPr>
    </w:pPr>
    <w:r>
      <w:pict w14:anchorId="45800C14">
        <v:shapetype id="_x0000_t202" coordsize="21600,21600" o:spt="202" path="m,l,21600r21600,l21600,xe">
          <v:stroke joinstyle="miter"/>
          <v:path gradientshapeok="t" o:connecttype="rect"/>
        </v:shapetype>
        <v:shape id="docshape2" o:spid="_x0000_s3074" type="#_x0000_t202" style="position:absolute;margin-left:78.4pt;margin-top:758.9pt;width:51.05pt;height:16pt;z-index:-251658240;mso-position-horizontal-relative:page;mso-position-vertical-relative:page;mso-width-relative:page;mso-height-relative:page" filled="f" stroked="f">
          <v:textbox inset="0,0,0,0">
            <w:txbxContent>
              <w:p w14:paraId="1CE58453" w14:textId="77777777" w:rsidR="00936C35" w:rsidRDefault="00000000">
                <w:pPr>
                  <w:spacing w:line="320" w:lineRule="exact"/>
                  <w:ind w:left="20"/>
                  <w:rPr>
                    <w:rFonts w:ascii="宋体" w:hAnsi="宋体"/>
                    <w:sz w:val="28"/>
                  </w:rPr>
                </w:pPr>
                <w:r>
                  <w:rPr>
                    <w:rFonts w:ascii="宋体" w:hAnsi="宋体"/>
                    <w:sz w:val="28"/>
                  </w:rPr>
                  <w:t>—</w:t>
                </w:r>
                <w:r>
                  <w:rPr>
                    <w:rFonts w:ascii="宋体" w:hAnsi="宋体"/>
                    <w:spacing w:val="-3"/>
                    <w:sz w:val="28"/>
                  </w:rPr>
                  <w:t xml:space="preserve"> </w:t>
                </w:r>
                <w:r>
                  <w:rPr>
                    <w:rFonts w:ascii="宋体" w:hAnsi="宋体"/>
                    <w:sz w:val="28"/>
                  </w:rPr>
                  <w:fldChar w:fldCharType="begin"/>
                </w:r>
                <w:r>
                  <w:rPr>
                    <w:rFonts w:ascii="宋体" w:hAnsi="宋体"/>
                    <w:sz w:val="28"/>
                  </w:rPr>
                  <w:instrText xml:space="preserve"> PAGE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pacing w:val="-1"/>
                    <w:sz w:val="28"/>
                  </w:rPr>
                  <w:t xml:space="preserve"> </w:t>
                </w:r>
                <w:r>
                  <w:rPr>
                    <w:rFonts w:ascii="宋体" w:hAnsi="宋体"/>
                    <w:spacing w:val="-10"/>
                    <w:sz w:val="2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97AF" w14:textId="77777777" w:rsidR="00936C35" w:rsidRDefault="00000000">
    <w:pPr>
      <w:pStyle w:val="a4"/>
      <w:spacing w:line="14" w:lineRule="auto"/>
      <w:rPr>
        <w:sz w:val="20"/>
      </w:rPr>
    </w:pPr>
    <w:r>
      <w:pict w14:anchorId="5BB8B844">
        <v:shapetype id="_x0000_t202" coordsize="21600,21600" o:spt="202" path="m,l,21600r21600,l21600,xe">
          <v:stroke joinstyle="miter"/>
          <v:path gradientshapeok="t" o:connecttype="rect"/>
        </v:shapetype>
        <v:shape id="docshape1" o:spid="_x0000_s3073" type="#_x0000_t202" style="position:absolute;margin-left:471.6pt;margin-top:758.9pt;width:51.05pt;height:16pt;z-index:-251659264;mso-position-horizontal-relative:page;mso-position-vertical-relative:page;mso-width-relative:page;mso-height-relative:page" filled="f" stroked="f">
          <v:textbox inset="0,0,0,0">
            <w:txbxContent>
              <w:p w14:paraId="5A6159D9" w14:textId="77777777" w:rsidR="00936C35" w:rsidRDefault="00000000">
                <w:pPr>
                  <w:spacing w:line="320" w:lineRule="exact"/>
                  <w:ind w:left="20"/>
                  <w:rPr>
                    <w:rFonts w:ascii="宋体" w:hAnsi="宋体"/>
                    <w:sz w:val="28"/>
                  </w:rPr>
                </w:pPr>
                <w:r>
                  <w:rPr>
                    <w:rFonts w:ascii="宋体" w:hAnsi="宋体"/>
                    <w:sz w:val="28"/>
                  </w:rPr>
                  <w:t>—</w:t>
                </w:r>
                <w:r>
                  <w:rPr>
                    <w:rFonts w:ascii="宋体" w:hAnsi="宋体"/>
                    <w:spacing w:val="-3"/>
                    <w:sz w:val="28"/>
                  </w:rPr>
                  <w:t xml:space="preserve"> </w:t>
                </w:r>
                <w:r>
                  <w:rPr>
                    <w:rFonts w:ascii="宋体" w:hAnsi="宋体"/>
                    <w:sz w:val="28"/>
                  </w:rPr>
                  <w:fldChar w:fldCharType="begin"/>
                </w:r>
                <w:r>
                  <w:rPr>
                    <w:rFonts w:ascii="宋体" w:hAnsi="宋体"/>
                    <w:sz w:val="28"/>
                  </w:rPr>
                  <w:instrText xml:space="preserve"> PAGE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pacing w:val="-1"/>
                    <w:sz w:val="28"/>
                  </w:rPr>
                  <w:t xml:space="preserve"> </w:t>
                </w:r>
                <w:r>
                  <w:rPr>
                    <w:rFonts w:ascii="宋体" w:hAnsi="宋体"/>
                    <w:spacing w:val="-10"/>
                    <w:sz w:val="2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1C0D" w14:textId="77777777" w:rsidR="00932CDE" w:rsidRDefault="00932CDE">
      <w:r>
        <w:separator/>
      </w:r>
    </w:p>
  </w:footnote>
  <w:footnote w:type="continuationSeparator" w:id="0">
    <w:p w14:paraId="1CDB9E0F" w14:textId="77777777" w:rsidR="00932CDE" w:rsidRDefault="00932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36C35"/>
    <w:rsid w:val="001376C2"/>
    <w:rsid w:val="001C09DE"/>
    <w:rsid w:val="003E778E"/>
    <w:rsid w:val="0053564B"/>
    <w:rsid w:val="005823E4"/>
    <w:rsid w:val="00691970"/>
    <w:rsid w:val="008F54DF"/>
    <w:rsid w:val="00932CDE"/>
    <w:rsid w:val="00936C35"/>
    <w:rsid w:val="00975E6D"/>
    <w:rsid w:val="00B66462"/>
    <w:rsid w:val="00DA5F6A"/>
    <w:rsid w:val="00DE01D5"/>
    <w:rsid w:val="00F979A7"/>
    <w:rsid w:val="11485C66"/>
    <w:rsid w:val="12C760B1"/>
    <w:rsid w:val="132B215C"/>
    <w:rsid w:val="3BE07216"/>
    <w:rsid w:val="611A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16FD135"/>
  <w15:docId w15:val="{4269819A-A1DC-47E8-A372-5B5637FF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1">
    <w:name w:val="heading 1"/>
    <w:basedOn w:val="a"/>
    <w:uiPriority w:val="1"/>
    <w:qFormat/>
    <w:pPr>
      <w:ind w:left="129" w:right="136"/>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Body Text"/>
    <w:basedOn w:val="a"/>
    <w:uiPriority w:val="1"/>
    <w:qFormat/>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琼常办函[2007]  号</dc:title>
  <dc:creator>微软用户</dc:creator>
  <cp:lastModifiedBy>ZJX</cp:lastModifiedBy>
  <cp:revision>6</cp:revision>
  <dcterms:created xsi:type="dcterms:W3CDTF">2025-05-09T12:47:00Z</dcterms:created>
  <dcterms:modified xsi:type="dcterms:W3CDTF">2025-05-29T07:03:00Z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2016</vt:lpwstr>
  </property>
  <property fmtid="{D5CDD505-2E9C-101B-9397-08002B2CF9AE}" pid="4" name="LastSaved">
    <vt:filetime>2025-05-09T00:00:00Z</vt:filetime>
  </property>
  <property fmtid="{D5CDD505-2E9C-101B-9397-08002B2CF9AE}" pid="5" name="Producer">
    <vt:lpwstr>Microsoft® Word 2016</vt:lpwstr>
  </property>
  <property fmtid="{D5CDD505-2E9C-101B-9397-08002B2CF9AE}" pid="6" name="KSOTemplateDocerSaveRecord">
    <vt:lpwstr>eyJoZGlkIjoiMzRlN2IwZmE3YmM0OTQwZTYwNjU1MzRiMDExMWI0OWQiLCJ1c2VySWQiOiI1Mzg3NDE5MTUifQ==</vt:lpwstr>
  </property>
  <property fmtid="{D5CDD505-2E9C-101B-9397-08002B2CF9AE}" pid="7" name="KSOProductBuildVer">
    <vt:lpwstr>2052-12.1.0.21171</vt:lpwstr>
  </property>
  <property fmtid="{D5CDD505-2E9C-101B-9397-08002B2CF9AE}" pid="8" name="ICV">
    <vt:lpwstr>AE5D930502EC4A248493EC6A69D53794_12</vt:lpwstr>
  </property>
</Properties>
</file>